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30F21" w14:textId="2F72DC7D" w:rsidR="00A05DF6" w:rsidRPr="004824AB" w:rsidRDefault="000D45C5" w:rsidP="000D45C5">
      <w:pPr>
        <w:jc w:val="center"/>
        <w:rPr>
          <w:b/>
          <w:color w:val="002060"/>
          <w:sz w:val="80"/>
          <w:szCs w:val="80"/>
        </w:rPr>
      </w:pPr>
      <w:bookmarkStart w:id="0" w:name="_Hlk84244053"/>
      <w:bookmarkEnd w:id="0"/>
      <w:r w:rsidRPr="004824AB">
        <w:rPr>
          <w:b/>
          <w:color w:val="002060"/>
          <w:sz w:val="80"/>
          <w:szCs w:val="80"/>
        </w:rPr>
        <w:t xml:space="preserve">Investment </w:t>
      </w:r>
      <w:r w:rsidR="00B6531D" w:rsidRPr="004824AB">
        <w:rPr>
          <w:b/>
          <w:color w:val="002060"/>
          <w:sz w:val="80"/>
          <w:szCs w:val="80"/>
        </w:rPr>
        <w:t>Update</w:t>
      </w:r>
    </w:p>
    <w:p w14:paraId="67D8541B" w14:textId="373F4098" w:rsidR="00274F53" w:rsidRPr="00274F53" w:rsidRDefault="00827476" w:rsidP="006D0992">
      <w:pPr>
        <w:jc w:val="center"/>
        <w:rPr>
          <w:b/>
          <w:bCs/>
          <w:color w:val="C00000"/>
          <w:sz w:val="28"/>
          <w:szCs w:val="28"/>
        </w:rPr>
        <w:sectPr w:rsidR="00274F53" w:rsidRPr="00274F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5CF8999" wp14:editId="0F85086B">
            <wp:extent cx="365760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23" b="40104"/>
                    <a:stretch/>
                  </pic:blipFill>
                  <pic:spPr bwMode="auto">
                    <a:xfrm>
                      <a:off x="0" y="0"/>
                      <a:ext cx="3657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00A61" w14:textId="201AB0C3" w:rsidR="00D7058F" w:rsidRPr="00523107" w:rsidRDefault="00381122">
      <w:pPr>
        <w:pStyle w:val="Heading1"/>
        <w:rPr>
          <w:b/>
          <w:color w:val="0070C0"/>
          <w:sz w:val="36"/>
        </w:rPr>
      </w:pPr>
      <w:r w:rsidRPr="00523107">
        <w:rPr>
          <w:b/>
          <w:color w:val="0070C0"/>
          <w:sz w:val="36"/>
        </w:rPr>
        <w:t>2024</w:t>
      </w:r>
      <w:r w:rsidR="008465B3" w:rsidRPr="00523107">
        <w:rPr>
          <w:b/>
          <w:color w:val="0070C0"/>
          <w:sz w:val="36"/>
        </w:rPr>
        <w:t xml:space="preserve">: </w:t>
      </w:r>
      <w:r w:rsidR="00FA6B0E" w:rsidRPr="00523107">
        <w:rPr>
          <w:b/>
          <w:color w:val="0070C0"/>
          <w:sz w:val="36"/>
        </w:rPr>
        <w:t>Don’t bet against anything</w:t>
      </w:r>
      <w:r w:rsidR="000720A0" w:rsidRPr="00523107">
        <w:rPr>
          <w:b/>
          <w:color w:val="0070C0"/>
          <w:sz w:val="36"/>
        </w:rPr>
        <w:t>…</w:t>
      </w:r>
    </w:p>
    <w:p w14:paraId="5F49DE46" w14:textId="09CCB32A" w:rsidR="00A05DF6" w:rsidRPr="008200FA" w:rsidRDefault="00A05DF6">
      <w:pPr>
        <w:pStyle w:val="Heading1"/>
        <w:rPr>
          <w:color w:val="000000" w:themeColor="text1"/>
          <w:sz w:val="24"/>
          <w:szCs w:val="24"/>
        </w:rPr>
      </w:pPr>
    </w:p>
    <w:p w14:paraId="2FE10F67" w14:textId="77777777" w:rsidR="00A05DF6" w:rsidRPr="008200FA" w:rsidRDefault="00A05DF6">
      <w:pPr>
        <w:pStyle w:val="Subtitle"/>
        <w:rPr>
          <w:sz w:val="24"/>
        </w:rPr>
        <w:sectPr w:rsidR="00A05DF6" w:rsidRPr="008200F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C741254" w14:textId="3EB6EA1E" w:rsidR="004C1BA8" w:rsidRDefault="004C1BA8" w:rsidP="006F421D">
      <w:pPr>
        <w:rPr>
          <w:color w:val="000000" w:themeColor="text1"/>
        </w:rPr>
      </w:pPr>
      <w:r>
        <w:rPr>
          <w:color w:val="000000" w:themeColor="text1"/>
        </w:rPr>
        <w:t xml:space="preserve">Any </w:t>
      </w:r>
      <w:r w:rsidR="005F0C77">
        <w:rPr>
          <w:color w:val="000000" w:themeColor="text1"/>
        </w:rPr>
        <w:t xml:space="preserve">genuine recap of 2023 </w:t>
      </w:r>
      <w:r w:rsidR="00F36C3A">
        <w:rPr>
          <w:color w:val="000000" w:themeColor="text1"/>
        </w:rPr>
        <w:t xml:space="preserve">must </w:t>
      </w:r>
      <w:r w:rsidR="005F0C77">
        <w:rPr>
          <w:color w:val="000000" w:themeColor="text1"/>
        </w:rPr>
        <w:t>involve several exclamation points</w:t>
      </w:r>
      <w:r w:rsidR="00B214CA">
        <w:rPr>
          <w:color w:val="000000" w:themeColor="text1"/>
        </w:rPr>
        <w:t xml:space="preserve">.  </w:t>
      </w:r>
      <w:r w:rsidR="00F36C3A">
        <w:rPr>
          <w:color w:val="000000" w:themeColor="text1"/>
        </w:rPr>
        <w:t xml:space="preserve">What a unique year!  </w:t>
      </w:r>
      <w:r w:rsidR="00B214CA">
        <w:rPr>
          <w:color w:val="000000" w:themeColor="text1"/>
        </w:rPr>
        <w:t>Who among us would have expected a stock market surge of over 2</w:t>
      </w:r>
      <w:r w:rsidR="006C7FD4">
        <w:rPr>
          <w:color w:val="000000" w:themeColor="text1"/>
        </w:rPr>
        <w:t>5</w:t>
      </w:r>
      <w:proofErr w:type="gramStart"/>
      <w:r w:rsidR="00B214CA">
        <w:rPr>
          <w:color w:val="000000" w:themeColor="text1"/>
        </w:rPr>
        <w:t xml:space="preserve">%  </w:t>
      </w:r>
      <w:r w:rsidR="00CD5257">
        <w:rPr>
          <w:color w:val="000000" w:themeColor="text1"/>
        </w:rPr>
        <w:t>given</w:t>
      </w:r>
      <w:proofErr w:type="gramEnd"/>
      <w:r w:rsidR="005517BF">
        <w:rPr>
          <w:color w:val="000000" w:themeColor="text1"/>
        </w:rPr>
        <w:t xml:space="preserve"> the headwinds we encountered (and still face)?</w:t>
      </w:r>
      <w:r w:rsidR="002C635D">
        <w:rPr>
          <w:color w:val="000000" w:themeColor="text1"/>
        </w:rPr>
        <w:t xml:space="preserve"> </w:t>
      </w:r>
    </w:p>
    <w:p w14:paraId="32912567" w14:textId="2694B0DC" w:rsidR="00E56FAE" w:rsidRDefault="005517BF" w:rsidP="006F421D">
      <w:pPr>
        <w:rPr>
          <w:color w:val="000000" w:themeColor="text1"/>
        </w:rPr>
      </w:pPr>
      <w:r>
        <w:rPr>
          <w:color w:val="000000" w:themeColor="text1"/>
        </w:rPr>
        <w:t xml:space="preserve">Likewise, any </w:t>
      </w:r>
      <w:r w:rsidR="00756B4F">
        <w:rPr>
          <w:color w:val="000000" w:themeColor="text1"/>
        </w:rPr>
        <w:t xml:space="preserve">2024 outlook should involve as many question marks as periods. On a recent call with JP Morgan, one </w:t>
      </w:r>
      <w:r w:rsidR="00F36C3A">
        <w:rPr>
          <w:color w:val="000000" w:themeColor="text1"/>
        </w:rPr>
        <w:t xml:space="preserve">of the </w:t>
      </w:r>
      <w:r w:rsidR="00756B4F">
        <w:rPr>
          <w:color w:val="000000" w:themeColor="text1"/>
        </w:rPr>
        <w:t>speaker</w:t>
      </w:r>
      <w:r w:rsidR="00F36C3A">
        <w:rPr>
          <w:color w:val="000000" w:themeColor="text1"/>
        </w:rPr>
        <w:t>s</w:t>
      </w:r>
      <w:r w:rsidR="00756B4F">
        <w:rPr>
          <w:color w:val="000000" w:themeColor="text1"/>
        </w:rPr>
        <w:t xml:space="preserve"> remarked that the strongest conviction was the lack of conviction in the marketplace.</w:t>
      </w:r>
      <w:r w:rsidR="00F31AB9">
        <w:rPr>
          <w:color w:val="000000" w:themeColor="text1"/>
        </w:rPr>
        <w:t xml:space="preserve"> It isn’t for a lack of trying to project and anticipate…it’s simply been </w:t>
      </w:r>
      <w:r w:rsidR="008E7AAE">
        <w:rPr>
          <w:color w:val="000000" w:themeColor="text1"/>
        </w:rPr>
        <w:t>near impossible to script the market’s moves post-Covid.</w:t>
      </w:r>
    </w:p>
    <w:p w14:paraId="38DE0711" w14:textId="3E210BE1" w:rsidR="00E56FAE" w:rsidRDefault="0013311E" w:rsidP="006F421D">
      <w:pPr>
        <w:rPr>
          <w:color w:val="000000" w:themeColor="text1"/>
        </w:rPr>
      </w:pPr>
      <w:r>
        <w:rPr>
          <w:color w:val="000000" w:themeColor="text1"/>
        </w:rPr>
        <w:t>Below is a sampling of what some of Wall Street’s brightest and most accomplished managers and economists see ahead in 2024:</w:t>
      </w:r>
    </w:p>
    <w:p w14:paraId="436E346D" w14:textId="24E3DD6C" w:rsidR="0013311E" w:rsidRPr="004D1FA7" w:rsidRDefault="00C6321A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>JP Morgan</w:t>
      </w:r>
      <w:r w:rsidR="006D47DF" w:rsidRPr="004D1FA7">
        <w:rPr>
          <w:color w:val="000000" w:themeColor="text1"/>
          <w:sz w:val="22"/>
          <w:szCs w:val="24"/>
        </w:rPr>
        <w:t>: S&amp;P year-end 2024 4200 and 10-year Treasury yield of 3.65%</w:t>
      </w:r>
    </w:p>
    <w:p w14:paraId="54C4B9F3" w14:textId="0B1B5839" w:rsidR="006D47DF" w:rsidRPr="004D1FA7" w:rsidRDefault="006D47DF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>M</w:t>
      </w:r>
      <w:r w:rsidR="00482357" w:rsidRPr="004D1FA7">
        <w:rPr>
          <w:color w:val="000000" w:themeColor="text1"/>
          <w:sz w:val="22"/>
          <w:szCs w:val="24"/>
        </w:rPr>
        <w:t xml:space="preserve">organ Stanley: </w:t>
      </w:r>
      <w:r w:rsidR="00450FE4" w:rsidRPr="004D1FA7">
        <w:rPr>
          <w:color w:val="000000" w:themeColor="text1"/>
          <w:sz w:val="22"/>
          <w:szCs w:val="24"/>
        </w:rPr>
        <w:t>year-end</w:t>
      </w:r>
      <w:r w:rsidR="00482357" w:rsidRPr="004D1FA7">
        <w:rPr>
          <w:color w:val="000000" w:themeColor="text1"/>
          <w:sz w:val="22"/>
          <w:szCs w:val="24"/>
        </w:rPr>
        <w:t xml:space="preserve"> ’24 of 4</w:t>
      </w:r>
      <w:r w:rsidR="000E6A37" w:rsidRPr="004D1FA7">
        <w:rPr>
          <w:color w:val="000000" w:themeColor="text1"/>
          <w:sz w:val="22"/>
          <w:szCs w:val="24"/>
        </w:rPr>
        <w:t>5</w:t>
      </w:r>
      <w:r w:rsidR="00482357" w:rsidRPr="004D1FA7">
        <w:rPr>
          <w:color w:val="000000" w:themeColor="text1"/>
          <w:sz w:val="22"/>
          <w:szCs w:val="24"/>
        </w:rPr>
        <w:t>00 for the S&amp;P 500</w:t>
      </w:r>
      <w:r w:rsidR="00450FE4" w:rsidRPr="004D1FA7">
        <w:rPr>
          <w:color w:val="000000" w:themeColor="text1"/>
          <w:sz w:val="22"/>
          <w:szCs w:val="24"/>
        </w:rPr>
        <w:t xml:space="preserve">; </w:t>
      </w:r>
      <w:r w:rsidR="00335455" w:rsidRPr="004D1FA7">
        <w:rPr>
          <w:color w:val="000000" w:themeColor="text1"/>
          <w:sz w:val="22"/>
          <w:szCs w:val="24"/>
        </w:rPr>
        <w:t xml:space="preserve">focus on quality and free-cash-flow </w:t>
      </w:r>
      <w:proofErr w:type="gramStart"/>
      <w:r w:rsidR="00335455" w:rsidRPr="004D1FA7">
        <w:rPr>
          <w:color w:val="000000" w:themeColor="text1"/>
          <w:sz w:val="22"/>
          <w:szCs w:val="24"/>
        </w:rPr>
        <w:t>yield</w:t>
      </w:r>
      <w:proofErr w:type="gramEnd"/>
    </w:p>
    <w:p w14:paraId="61B580CE" w14:textId="3B95A264" w:rsidR="00063FA5" w:rsidRPr="004D1FA7" w:rsidRDefault="00A27694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 xml:space="preserve">Tom Lee at </w:t>
      </w:r>
      <w:proofErr w:type="spellStart"/>
      <w:r w:rsidRPr="004D1FA7">
        <w:rPr>
          <w:color w:val="000000" w:themeColor="text1"/>
          <w:sz w:val="22"/>
          <w:szCs w:val="24"/>
        </w:rPr>
        <w:t>Fundstrat</w:t>
      </w:r>
      <w:proofErr w:type="spellEnd"/>
      <w:r w:rsidRPr="004D1FA7">
        <w:rPr>
          <w:color w:val="000000" w:themeColor="text1"/>
          <w:sz w:val="22"/>
          <w:szCs w:val="24"/>
        </w:rPr>
        <w:t>: 5200 for the S&amp;P 500 by YE ‘24</w:t>
      </w:r>
    </w:p>
    <w:p w14:paraId="429583F6" w14:textId="3BEA0C87" w:rsidR="00C46F62" w:rsidRPr="004D1FA7" w:rsidRDefault="00C46F62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 xml:space="preserve">Deutsche Bank: 5100 </w:t>
      </w:r>
      <w:proofErr w:type="gramStart"/>
      <w:r w:rsidRPr="004D1FA7">
        <w:rPr>
          <w:color w:val="000000" w:themeColor="text1"/>
          <w:sz w:val="22"/>
          <w:szCs w:val="24"/>
        </w:rPr>
        <w:t>target</w:t>
      </w:r>
      <w:proofErr w:type="gramEnd"/>
      <w:r w:rsidRPr="004D1FA7">
        <w:rPr>
          <w:color w:val="000000" w:themeColor="text1"/>
          <w:sz w:val="22"/>
          <w:szCs w:val="24"/>
        </w:rPr>
        <w:t xml:space="preserve"> on S&amp;P and 4.1% 10-year yield</w:t>
      </w:r>
    </w:p>
    <w:p w14:paraId="3180BC08" w14:textId="6BA42659" w:rsidR="00A27694" w:rsidRPr="004D1FA7" w:rsidRDefault="00C23CC0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 xml:space="preserve">Amundi (Europe’s largest asset manager): </w:t>
      </w:r>
      <w:r w:rsidR="00FB7E19" w:rsidRPr="004D1FA7">
        <w:rPr>
          <w:color w:val="000000" w:themeColor="text1"/>
          <w:sz w:val="22"/>
          <w:szCs w:val="24"/>
        </w:rPr>
        <w:t>first half ’24 recession</w:t>
      </w:r>
    </w:p>
    <w:p w14:paraId="2CD7E981" w14:textId="6B17754D" w:rsidR="00FB7E19" w:rsidRPr="004D1FA7" w:rsidRDefault="00FB7E19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>NY Life: 60% likelihood of a US Recession</w:t>
      </w:r>
    </w:p>
    <w:p w14:paraId="311868C3" w14:textId="500B9750" w:rsidR="00662CC7" w:rsidRPr="004D1FA7" w:rsidRDefault="00662CC7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 xml:space="preserve">Goldman Sachs: YE </w:t>
      </w:r>
      <w:proofErr w:type="gramStart"/>
      <w:r w:rsidRPr="004D1FA7">
        <w:rPr>
          <w:color w:val="000000" w:themeColor="text1"/>
          <w:sz w:val="22"/>
          <w:szCs w:val="24"/>
        </w:rPr>
        <w:t>‘ 24</w:t>
      </w:r>
      <w:proofErr w:type="gramEnd"/>
      <w:r w:rsidRPr="004D1FA7">
        <w:rPr>
          <w:color w:val="000000" w:themeColor="text1"/>
          <w:sz w:val="22"/>
          <w:szCs w:val="24"/>
        </w:rPr>
        <w:t xml:space="preserve"> S&amp;P 500 at 4700</w:t>
      </w:r>
      <w:r w:rsidR="00531137" w:rsidRPr="004D1FA7">
        <w:rPr>
          <w:color w:val="000000" w:themeColor="text1"/>
          <w:sz w:val="22"/>
          <w:szCs w:val="24"/>
        </w:rPr>
        <w:t xml:space="preserve"> with 4.6% 10-year Treasury yield</w:t>
      </w:r>
    </w:p>
    <w:p w14:paraId="7CBB32F9" w14:textId="5F1ED104" w:rsidR="00CF1539" w:rsidRPr="004D1FA7" w:rsidRDefault="00CF1539" w:rsidP="004D1FA7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  <w:sz w:val="22"/>
          <w:szCs w:val="24"/>
        </w:rPr>
      </w:pPr>
      <w:r w:rsidRPr="004D1FA7">
        <w:rPr>
          <w:color w:val="000000" w:themeColor="text1"/>
          <w:sz w:val="22"/>
          <w:szCs w:val="24"/>
        </w:rPr>
        <w:t>First Trust</w:t>
      </w:r>
      <w:r w:rsidR="00253AAC" w:rsidRPr="004D1FA7">
        <w:rPr>
          <w:color w:val="000000" w:themeColor="text1"/>
          <w:sz w:val="22"/>
          <w:szCs w:val="24"/>
        </w:rPr>
        <w:t xml:space="preserve"> economist</w:t>
      </w:r>
      <w:r w:rsidR="004D1FA7" w:rsidRPr="004D1FA7">
        <w:rPr>
          <w:color w:val="000000" w:themeColor="text1"/>
          <w:sz w:val="22"/>
          <w:szCs w:val="24"/>
        </w:rPr>
        <w:t xml:space="preserve"> </w:t>
      </w:r>
      <w:r w:rsidRPr="004D1FA7">
        <w:rPr>
          <w:color w:val="000000" w:themeColor="text1"/>
          <w:sz w:val="22"/>
          <w:szCs w:val="24"/>
        </w:rPr>
        <w:t xml:space="preserve">Brian </w:t>
      </w:r>
      <w:proofErr w:type="spellStart"/>
      <w:r w:rsidRPr="004D1FA7">
        <w:rPr>
          <w:color w:val="000000" w:themeColor="text1"/>
          <w:sz w:val="22"/>
          <w:szCs w:val="24"/>
        </w:rPr>
        <w:t>Wesbury’s</w:t>
      </w:r>
      <w:proofErr w:type="spellEnd"/>
      <w:r w:rsidRPr="004D1FA7">
        <w:rPr>
          <w:color w:val="000000" w:themeColor="text1"/>
          <w:sz w:val="22"/>
          <w:szCs w:val="24"/>
        </w:rPr>
        <w:t xml:space="preserve"> 2024 outlook are “2024 will be a tough year.”</w:t>
      </w:r>
    </w:p>
    <w:p w14:paraId="31C4B127" w14:textId="2B19146A" w:rsidR="00531137" w:rsidRDefault="00531137" w:rsidP="00531137">
      <w:pPr>
        <w:rPr>
          <w:color w:val="000000" w:themeColor="text1"/>
        </w:rPr>
      </w:pPr>
      <w:r>
        <w:rPr>
          <w:color w:val="000000" w:themeColor="text1"/>
        </w:rPr>
        <w:t>So</w:t>
      </w:r>
      <w:r w:rsidR="00894C92">
        <w:rPr>
          <w:color w:val="000000" w:themeColor="text1"/>
        </w:rPr>
        <w:t>,</w:t>
      </w:r>
      <w:r>
        <w:rPr>
          <w:color w:val="000000" w:themeColor="text1"/>
        </w:rPr>
        <w:t xml:space="preserve"> to summarize…there </w:t>
      </w:r>
      <w:r w:rsidR="00C93C41">
        <w:rPr>
          <w:color w:val="000000" w:themeColor="text1"/>
        </w:rPr>
        <w:t>are</w:t>
      </w:r>
      <w:r w:rsidR="000E4519">
        <w:rPr>
          <w:color w:val="000000" w:themeColor="text1"/>
        </w:rPr>
        <w:t xml:space="preserve"> </w:t>
      </w:r>
      <w:r w:rsidR="00C93C41">
        <w:rPr>
          <w:color w:val="000000" w:themeColor="text1"/>
        </w:rPr>
        <w:t>many</w:t>
      </w:r>
      <w:r w:rsidR="000E4519">
        <w:rPr>
          <w:color w:val="000000" w:themeColor="text1"/>
        </w:rPr>
        <w:t xml:space="preserve"> accomplished </w:t>
      </w:r>
      <w:r w:rsidR="00704CB2">
        <w:rPr>
          <w:color w:val="000000" w:themeColor="text1"/>
        </w:rPr>
        <w:t xml:space="preserve">investment </w:t>
      </w:r>
      <w:r w:rsidR="000E4519">
        <w:rPr>
          <w:color w:val="000000" w:themeColor="text1"/>
        </w:rPr>
        <w:t>professionals</w:t>
      </w:r>
      <w:r>
        <w:rPr>
          <w:color w:val="000000" w:themeColor="text1"/>
        </w:rPr>
        <w:t xml:space="preserve"> whose outlooks vary widely.  </w:t>
      </w:r>
      <w:r w:rsidR="00473700">
        <w:rPr>
          <w:color w:val="000000" w:themeColor="text1"/>
        </w:rPr>
        <w:t>U</w:t>
      </w:r>
      <w:r w:rsidR="00704CB2">
        <w:rPr>
          <w:color w:val="000000" w:themeColor="text1"/>
        </w:rPr>
        <w:t xml:space="preserve">ltimately </w:t>
      </w:r>
      <w:r>
        <w:rPr>
          <w:color w:val="000000" w:themeColor="text1"/>
        </w:rPr>
        <w:t xml:space="preserve">what the </w:t>
      </w:r>
      <w:r w:rsidR="007110AB">
        <w:rPr>
          <w:color w:val="000000" w:themeColor="text1"/>
        </w:rPr>
        <w:t xml:space="preserve">stock </w:t>
      </w:r>
      <w:r>
        <w:rPr>
          <w:color w:val="000000" w:themeColor="text1"/>
        </w:rPr>
        <w:t>market represents</w:t>
      </w:r>
      <w:r w:rsidR="00473700">
        <w:rPr>
          <w:color w:val="000000" w:themeColor="text1"/>
        </w:rPr>
        <w:t xml:space="preserve"> is </w:t>
      </w:r>
      <w:r>
        <w:rPr>
          <w:color w:val="000000" w:themeColor="text1"/>
        </w:rPr>
        <w:t>a</w:t>
      </w:r>
      <w:r w:rsidR="00894C92">
        <w:rPr>
          <w:color w:val="000000" w:themeColor="text1"/>
        </w:rPr>
        <w:t xml:space="preserve">n </w:t>
      </w:r>
      <w:r w:rsidR="00E64FB5">
        <w:rPr>
          <w:color w:val="000000" w:themeColor="text1"/>
        </w:rPr>
        <w:t xml:space="preserve">aggregate </w:t>
      </w:r>
      <w:r w:rsidR="00894C92">
        <w:rPr>
          <w:color w:val="000000" w:themeColor="text1"/>
        </w:rPr>
        <w:t xml:space="preserve">of the viewpoints of all </w:t>
      </w:r>
      <w:r w:rsidR="007110AB">
        <w:rPr>
          <w:color w:val="000000" w:themeColor="text1"/>
        </w:rPr>
        <w:t xml:space="preserve">its </w:t>
      </w:r>
      <w:r w:rsidR="00894C92">
        <w:rPr>
          <w:color w:val="000000" w:themeColor="text1"/>
        </w:rPr>
        <w:t>participants.</w:t>
      </w:r>
    </w:p>
    <w:p w14:paraId="5FA9AFC1" w14:textId="4278221C" w:rsidR="00704CB2" w:rsidRPr="00CD7884" w:rsidRDefault="00704CB2" w:rsidP="00531137">
      <w:pPr>
        <w:rPr>
          <w:b/>
          <w:bCs/>
          <w:color w:val="000000" w:themeColor="text1"/>
        </w:rPr>
      </w:pPr>
      <w:r w:rsidRPr="00CD7884">
        <w:rPr>
          <w:b/>
          <w:bCs/>
          <w:color w:val="000000" w:themeColor="text1"/>
        </w:rPr>
        <w:t>S</w:t>
      </w:r>
      <w:r w:rsidR="00DD1DF6" w:rsidRPr="00CD7884">
        <w:rPr>
          <w:b/>
          <w:bCs/>
          <w:color w:val="000000" w:themeColor="text1"/>
        </w:rPr>
        <w:t xml:space="preserve">o, what’s our take? What does HIP suggest doing with this information? What </w:t>
      </w:r>
      <w:r w:rsidR="009B407C" w:rsidRPr="00CD7884">
        <w:rPr>
          <w:b/>
          <w:bCs/>
          <w:color w:val="000000" w:themeColor="text1"/>
        </w:rPr>
        <w:t>are our “best bets” headed into 2024?</w:t>
      </w:r>
    </w:p>
    <w:p w14:paraId="3919DFC0" w14:textId="07A1AC96" w:rsidR="009B407C" w:rsidRDefault="00CD7884" w:rsidP="00531137">
      <w:pPr>
        <w:rPr>
          <w:color w:val="000000" w:themeColor="text1"/>
        </w:rPr>
      </w:pPr>
      <w:r>
        <w:rPr>
          <w:color w:val="000000" w:themeColor="text1"/>
        </w:rPr>
        <w:t xml:space="preserve">For those who read this newsletter regularly, </w:t>
      </w:r>
      <w:r w:rsidR="00787E57">
        <w:rPr>
          <w:color w:val="000000" w:themeColor="text1"/>
        </w:rPr>
        <w:t>much of this may sound familiar (but worth a repeat</w:t>
      </w:r>
      <w:r w:rsidR="00E950B0">
        <w:rPr>
          <w:color w:val="000000" w:themeColor="text1"/>
        </w:rPr>
        <w:t>,</w:t>
      </w:r>
      <w:r w:rsidR="00787E57">
        <w:rPr>
          <w:color w:val="000000" w:themeColor="text1"/>
        </w:rPr>
        <w:t xml:space="preserve"> nonetheless). Our positioning bias for 2024 breaks down into 4 main themes:</w:t>
      </w:r>
    </w:p>
    <w:p w14:paraId="5C8825C6" w14:textId="10EEE40E" w:rsidR="00787E57" w:rsidRPr="00E950B0" w:rsidRDefault="00787E57" w:rsidP="00787E57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E950B0">
        <w:rPr>
          <w:color w:val="000000" w:themeColor="text1"/>
          <w:sz w:val="22"/>
          <w:szCs w:val="24"/>
        </w:rPr>
        <w:t>Quality</w:t>
      </w:r>
    </w:p>
    <w:p w14:paraId="43E70A12" w14:textId="523A4413" w:rsidR="00787E57" w:rsidRPr="00E950B0" w:rsidRDefault="000F64AF" w:rsidP="00787E57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E950B0">
        <w:rPr>
          <w:color w:val="000000" w:themeColor="text1"/>
          <w:sz w:val="22"/>
          <w:szCs w:val="24"/>
        </w:rPr>
        <w:t>Cash flow</w:t>
      </w:r>
    </w:p>
    <w:p w14:paraId="674DCA61" w14:textId="6E300970" w:rsidR="00787E57" w:rsidRPr="00E950B0" w:rsidRDefault="00787E57" w:rsidP="00787E57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E950B0">
        <w:rPr>
          <w:color w:val="000000" w:themeColor="text1"/>
          <w:sz w:val="22"/>
          <w:szCs w:val="24"/>
        </w:rPr>
        <w:t>Patience</w:t>
      </w:r>
    </w:p>
    <w:p w14:paraId="2C9F1687" w14:textId="0C5F30F9" w:rsidR="00787E57" w:rsidRPr="00E950B0" w:rsidRDefault="008335D5" w:rsidP="00787E57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E950B0">
        <w:rPr>
          <w:color w:val="000000" w:themeColor="text1"/>
          <w:sz w:val="22"/>
          <w:szCs w:val="24"/>
        </w:rPr>
        <w:t>Balance</w:t>
      </w:r>
    </w:p>
    <w:p w14:paraId="6A9DBCB9" w14:textId="77777777" w:rsidR="008B5F9F" w:rsidRDefault="00E950B0" w:rsidP="008335D5">
      <w:pPr>
        <w:rPr>
          <w:color w:val="000000" w:themeColor="text1"/>
        </w:rPr>
      </w:pPr>
      <w:r w:rsidRPr="00E950B0">
        <w:rPr>
          <w:b/>
          <w:bCs/>
          <w:color w:val="000000" w:themeColor="text1"/>
        </w:rPr>
        <w:t>QUALITY:</w:t>
      </w:r>
      <w:r>
        <w:rPr>
          <w:color w:val="000000" w:themeColor="text1"/>
        </w:rPr>
        <w:t xml:space="preserve"> </w:t>
      </w:r>
      <w:r w:rsidR="00806E3A">
        <w:rPr>
          <w:color w:val="000000" w:themeColor="text1"/>
        </w:rPr>
        <w:t>While few can describe an environment where quality is out-of-favor, there are economic periods when low</w:t>
      </w:r>
      <w:r w:rsidR="003C2FAE">
        <w:rPr>
          <w:color w:val="000000" w:themeColor="text1"/>
        </w:rPr>
        <w:t>-q</w:t>
      </w:r>
      <w:r w:rsidR="00806E3A">
        <w:rPr>
          <w:color w:val="000000" w:themeColor="text1"/>
        </w:rPr>
        <w:t>uality, heavily levered companies outpace more established peers</w:t>
      </w:r>
      <w:r w:rsidR="002F5618">
        <w:rPr>
          <w:color w:val="000000" w:themeColor="text1"/>
        </w:rPr>
        <w:t xml:space="preserve"> (i.e. 1995-99)</w:t>
      </w:r>
      <w:r w:rsidR="00806E3A">
        <w:rPr>
          <w:color w:val="000000" w:themeColor="text1"/>
        </w:rPr>
        <w:t>.</w:t>
      </w:r>
      <w:r w:rsidR="003C2FAE">
        <w:rPr>
          <w:color w:val="000000" w:themeColor="text1"/>
        </w:rPr>
        <w:t xml:space="preserve"> To us, quality isn’t a discussion about large cap vs. small cap or </w:t>
      </w:r>
      <w:r w:rsidR="00271D45">
        <w:rPr>
          <w:color w:val="000000" w:themeColor="text1"/>
        </w:rPr>
        <w:t xml:space="preserve">value vs. growth, but rather one about balance sheet, business stability and growth, and economic moat vs. competitors. </w:t>
      </w:r>
      <w:r w:rsidR="00E734D0">
        <w:rPr>
          <w:color w:val="000000" w:themeColor="text1"/>
        </w:rPr>
        <w:t xml:space="preserve"> </w:t>
      </w:r>
    </w:p>
    <w:p w14:paraId="38982B5D" w14:textId="0169C2FA" w:rsidR="008335D5" w:rsidRDefault="00E734D0" w:rsidP="008335D5">
      <w:pPr>
        <w:rPr>
          <w:color w:val="000000" w:themeColor="text1"/>
        </w:rPr>
      </w:pPr>
      <w:r>
        <w:rPr>
          <w:color w:val="000000" w:themeColor="text1"/>
        </w:rPr>
        <w:t>There are dominant large cap value names worth owning (JNJ</w:t>
      </w:r>
      <w:r w:rsidR="00B75C36">
        <w:rPr>
          <w:color w:val="000000" w:themeColor="text1"/>
        </w:rPr>
        <w:t xml:space="preserve">, </w:t>
      </w:r>
      <w:r w:rsidR="00202CF6">
        <w:rPr>
          <w:color w:val="000000" w:themeColor="text1"/>
        </w:rPr>
        <w:t>PG, HD</w:t>
      </w:r>
      <w:r w:rsidR="00B75C36">
        <w:rPr>
          <w:color w:val="000000" w:themeColor="text1"/>
        </w:rPr>
        <w:t>, etc.</w:t>
      </w:r>
      <w:r>
        <w:rPr>
          <w:color w:val="000000" w:themeColor="text1"/>
        </w:rPr>
        <w:t>)</w:t>
      </w:r>
      <w:r w:rsidR="00202CF6">
        <w:rPr>
          <w:color w:val="000000" w:themeColor="text1"/>
        </w:rPr>
        <w:t xml:space="preserve"> just as there are growth names</w:t>
      </w:r>
      <w:r w:rsidR="00B75C36">
        <w:rPr>
          <w:color w:val="000000" w:themeColor="text1"/>
        </w:rPr>
        <w:t xml:space="preserve"> (MSFT, NVDA, AMZN,</w:t>
      </w:r>
      <w:r w:rsidR="00627C9D">
        <w:rPr>
          <w:color w:val="000000" w:themeColor="text1"/>
        </w:rPr>
        <w:t xml:space="preserve"> </w:t>
      </w:r>
      <w:r w:rsidR="00B75C36">
        <w:rPr>
          <w:color w:val="000000" w:themeColor="text1"/>
        </w:rPr>
        <w:t>etc.)</w:t>
      </w:r>
      <w:r w:rsidR="00627C9D">
        <w:rPr>
          <w:color w:val="000000" w:themeColor="text1"/>
        </w:rPr>
        <w:t xml:space="preserve">.  </w:t>
      </w:r>
      <w:r w:rsidR="00627C9D" w:rsidRPr="00073A21">
        <w:rPr>
          <w:color w:val="000000" w:themeColor="text1"/>
        </w:rPr>
        <w:t xml:space="preserve">We don’t believe it to be </w:t>
      </w:r>
      <w:r w:rsidR="0051634E" w:rsidRPr="00073A21">
        <w:rPr>
          <w:color w:val="000000" w:themeColor="text1"/>
        </w:rPr>
        <w:t xml:space="preserve">an </w:t>
      </w:r>
      <w:r w:rsidR="00073A21" w:rsidRPr="00073A21">
        <w:rPr>
          <w:color w:val="000000" w:themeColor="text1"/>
        </w:rPr>
        <w:t>either-or</w:t>
      </w:r>
      <w:r w:rsidR="0051634E" w:rsidRPr="00073A21">
        <w:rPr>
          <w:color w:val="000000" w:themeColor="text1"/>
        </w:rPr>
        <w:t xml:space="preserve"> decision </w:t>
      </w:r>
      <w:r w:rsidR="00627C9D" w:rsidRPr="00073A21">
        <w:rPr>
          <w:color w:val="000000" w:themeColor="text1"/>
        </w:rPr>
        <w:t>when speaking of growth and value.</w:t>
      </w:r>
      <w:r>
        <w:rPr>
          <w:color w:val="000000" w:themeColor="text1"/>
        </w:rPr>
        <w:t xml:space="preserve"> </w:t>
      </w:r>
      <w:r w:rsidR="00627C9D">
        <w:rPr>
          <w:color w:val="000000" w:themeColor="text1"/>
        </w:rPr>
        <w:t xml:space="preserve"> </w:t>
      </w:r>
      <w:r w:rsidR="008B5F9F">
        <w:rPr>
          <w:color w:val="000000" w:themeColor="text1"/>
        </w:rPr>
        <w:t xml:space="preserve">The same holds true for small and mid-cap companies.  We prefer companies in these areas with low debt and </w:t>
      </w:r>
      <w:r w:rsidR="00607E30">
        <w:rPr>
          <w:color w:val="000000" w:themeColor="text1"/>
        </w:rPr>
        <w:t xml:space="preserve">positive earnings.  </w:t>
      </w:r>
      <w:r w:rsidR="00B53575">
        <w:rPr>
          <w:color w:val="000000" w:themeColor="text1"/>
        </w:rPr>
        <w:t xml:space="preserve">As we enter 2024, we believe there are </w:t>
      </w:r>
      <w:r w:rsidR="000D03C3">
        <w:rPr>
          <w:color w:val="000000" w:themeColor="text1"/>
        </w:rPr>
        <w:t>few</w:t>
      </w:r>
      <w:r w:rsidR="00B53575">
        <w:rPr>
          <w:color w:val="000000" w:themeColor="text1"/>
        </w:rPr>
        <w:t xml:space="preserve"> reasons to venture far beyond the best of the best brands and leadership teams.</w:t>
      </w:r>
    </w:p>
    <w:p w14:paraId="1D97BD7C" w14:textId="28761DD3" w:rsidR="003F309C" w:rsidRDefault="00E950B0" w:rsidP="008335D5">
      <w:pPr>
        <w:rPr>
          <w:color w:val="000000" w:themeColor="text1"/>
        </w:rPr>
      </w:pPr>
      <w:r w:rsidRPr="00E950B0">
        <w:rPr>
          <w:b/>
          <w:bCs/>
          <w:color w:val="000000" w:themeColor="text1"/>
        </w:rPr>
        <w:t>CASH FLOW:</w:t>
      </w:r>
      <w:r>
        <w:rPr>
          <w:color w:val="000000" w:themeColor="text1"/>
        </w:rPr>
        <w:t xml:space="preserve"> </w:t>
      </w:r>
      <w:r w:rsidR="003F309C">
        <w:rPr>
          <w:color w:val="000000" w:themeColor="text1"/>
        </w:rPr>
        <w:t xml:space="preserve">Cash flow refers to both the equity and fixed income allocations of one’s portfolio. In bonds, allocating beyond short-duration and money market </w:t>
      </w:r>
      <w:r w:rsidR="00295418">
        <w:rPr>
          <w:color w:val="000000" w:themeColor="text1"/>
        </w:rPr>
        <w:t xml:space="preserve">will help diminish the reinvestment risk in 2024.  Furthermore, absent a surprise </w:t>
      </w:r>
      <w:r w:rsidR="005340D2">
        <w:rPr>
          <w:color w:val="000000" w:themeColor="text1"/>
        </w:rPr>
        <w:t xml:space="preserve">mass </w:t>
      </w:r>
      <w:r w:rsidR="00295418">
        <w:rPr>
          <w:color w:val="000000" w:themeColor="text1"/>
        </w:rPr>
        <w:t>credit event</w:t>
      </w:r>
      <w:r w:rsidR="005340D2">
        <w:rPr>
          <w:color w:val="000000" w:themeColor="text1"/>
        </w:rPr>
        <w:t xml:space="preserve">, the spread picked up </w:t>
      </w:r>
      <w:r w:rsidR="005340D2">
        <w:rPr>
          <w:color w:val="000000" w:themeColor="text1"/>
        </w:rPr>
        <w:lastRenderedPageBreak/>
        <w:t>versus treasuries can also be quite meaningful. There are currently</w:t>
      </w:r>
      <w:r w:rsidR="0076278C">
        <w:rPr>
          <w:color w:val="000000" w:themeColor="text1"/>
        </w:rPr>
        <w:t xml:space="preserve"> investment grade bo</w:t>
      </w:r>
      <w:r w:rsidR="005340D2">
        <w:rPr>
          <w:color w:val="000000" w:themeColor="text1"/>
        </w:rPr>
        <w:t>nd</w:t>
      </w:r>
      <w:r w:rsidR="0076278C">
        <w:rPr>
          <w:color w:val="000000" w:themeColor="text1"/>
        </w:rPr>
        <w:t xml:space="preserve"> portfolios</w:t>
      </w:r>
      <w:r w:rsidR="005340D2">
        <w:rPr>
          <w:color w:val="000000" w:themeColor="text1"/>
        </w:rPr>
        <w:t xml:space="preserve"> paying </w:t>
      </w:r>
      <w:r w:rsidR="0076278C">
        <w:rPr>
          <w:color w:val="000000" w:themeColor="text1"/>
        </w:rPr>
        <w:t xml:space="preserve">2-3% more than comparable treasuries.  That </w:t>
      </w:r>
      <w:proofErr w:type="gramStart"/>
      <w:r w:rsidR="0076278C">
        <w:rPr>
          <w:color w:val="000000" w:themeColor="text1"/>
        </w:rPr>
        <w:t>figures</w:t>
      </w:r>
      <w:proofErr w:type="gramEnd"/>
      <w:r w:rsidR="0076278C">
        <w:rPr>
          <w:color w:val="000000" w:themeColor="text1"/>
        </w:rPr>
        <w:t xml:space="preserve"> </w:t>
      </w:r>
      <w:r w:rsidR="00E31764">
        <w:rPr>
          <w:color w:val="000000" w:themeColor="text1"/>
        </w:rPr>
        <w:t xml:space="preserve">likely </w:t>
      </w:r>
      <w:r w:rsidR="00CD0839">
        <w:rPr>
          <w:color w:val="000000" w:themeColor="text1"/>
        </w:rPr>
        <w:t>goes</w:t>
      </w:r>
      <w:r w:rsidR="0076278C">
        <w:rPr>
          <w:color w:val="000000" w:themeColor="text1"/>
        </w:rPr>
        <w:t xml:space="preserve"> a long way toward total return in 2024.</w:t>
      </w:r>
    </w:p>
    <w:p w14:paraId="2D90C3B7" w14:textId="0148364A" w:rsidR="00E31764" w:rsidRPr="008335D5" w:rsidRDefault="00E31764" w:rsidP="008335D5">
      <w:pPr>
        <w:rPr>
          <w:color w:val="000000" w:themeColor="text1"/>
        </w:rPr>
      </w:pPr>
      <w:r>
        <w:rPr>
          <w:color w:val="000000" w:themeColor="text1"/>
        </w:rPr>
        <w:t>In equities, dividend-paying equities figure to fare better versus growthier peers.  Additionally, non-US dividend payers are particularly appealing</w:t>
      </w:r>
      <w:r w:rsidR="00B1188C">
        <w:rPr>
          <w:color w:val="000000" w:themeColor="text1"/>
        </w:rPr>
        <w:t xml:space="preserve">, given higher starting yields and lower starting P/E ratios. </w:t>
      </w:r>
      <w:r w:rsidR="009F6FF7">
        <w:rPr>
          <w:color w:val="000000" w:themeColor="text1"/>
        </w:rPr>
        <w:t>S</w:t>
      </w:r>
      <w:r w:rsidR="00FB61EF">
        <w:rPr>
          <w:color w:val="000000" w:themeColor="text1"/>
        </w:rPr>
        <w:t xml:space="preserve">everal </w:t>
      </w:r>
      <w:r w:rsidR="00E70E1B">
        <w:rPr>
          <w:color w:val="000000" w:themeColor="text1"/>
        </w:rPr>
        <w:t xml:space="preserve">of our </w:t>
      </w:r>
      <w:r w:rsidR="00FB61EF">
        <w:rPr>
          <w:color w:val="000000" w:themeColor="text1"/>
        </w:rPr>
        <w:t>equity strategies</w:t>
      </w:r>
      <w:r w:rsidR="009F6FF7">
        <w:rPr>
          <w:color w:val="000000" w:themeColor="text1"/>
        </w:rPr>
        <w:t xml:space="preserve"> boast </w:t>
      </w:r>
      <w:r w:rsidR="00FB61EF">
        <w:rPr>
          <w:color w:val="000000" w:themeColor="text1"/>
        </w:rPr>
        <w:t>incomes over 5%</w:t>
      </w:r>
      <w:r w:rsidR="009F6FF7">
        <w:rPr>
          <w:color w:val="000000" w:themeColor="text1"/>
        </w:rPr>
        <w:t>.</w:t>
      </w:r>
      <w:r w:rsidR="00802828">
        <w:rPr>
          <w:color w:val="000000" w:themeColor="text1"/>
        </w:rPr>
        <w:t xml:space="preserve"> This cash flow, coupled </w:t>
      </w:r>
      <w:r w:rsidR="00E6004C">
        <w:rPr>
          <w:color w:val="000000" w:themeColor="text1"/>
        </w:rPr>
        <w:t>with</w:t>
      </w:r>
      <w:r w:rsidR="00802828">
        <w:rPr>
          <w:color w:val="000000" w:themeColor="text1"/>
        </w:rPr>
        <w:t xml:space="preserve"> reasonable starting valuations and</w:t>
      </w:r>
      <w:r w:rsidR="00A6434C">
        <w:rPr>
          <w:color w:val="000000" w:themeColor="text1"/>
        </w:rPr>
        <w:t xml:space="preserve"> the </w:t>
      </w:r>
      <w:r w:rsidR="00802828">
        <w:rPr>
          <w:color w:val="000000" w:themeColor="text1"/>
        </w:rPr>
        <w:t>potential</w:t>
      </w:r>
      <w:r w:rsidR="00A6434C">
        <w:rPr>
          <w:color w:val="000000" w:themeColor="text1"/>
        </w:rPr>
        <w:t xml:space="preserve"> </w:t>
      </w:r>
      <w:proofErr w:type="gramStart"/>
      <w:r w:rsidR="00A6434C">
        <w:rPr>
          <w:color w:val="000000" w:themeColor="text1"/>
        </w:rPr>
        <w:t>of</w:t>
      </w:r>
      <w:proofErr w:type="gramEnd"/>
      <w:r w:rsidR="00A6434C">
        <w:rPr>
          <w:color w:val="000000" w:themeColor="text1"/>
        </w:rPr>
        <w:t xml:space="preserve"> appreciation </w:t>
      </w:r>
      <w:r w:rsidR="00E6004C">
        <w:rPr>
          <w:color w:val="000000" w:themeColor="text1"/>
        </w:rPr>
        <w:t xml:space="preserve">make these strategies poise to fare well if ’24 </w:t>
      </w:r>
      <w:r w:rsidR="00BF225F">
        <w:rPr>
          <w:color w:val="000000" w:themeColor="text1"/>
        </w:rPr>
        <w:t>results in more muted results for the broad markets.</w:t>
      </w:r>
    </w:p>
    <w:p w14:paraId="0B9BB59E" w14:textId="6F6D06BE" w:rsidR="00DD1DF6" w:rsidRDefault="00BF225F" w:rsidP="00531137">
      <w:pPr>
        <w:rPr>
          <w:color w:val="000000" w:themeColor="text1"/>
        </w:rPr>
      </w:pPr>
      <w:r w:rsidRPr="005159B9">
        <w:rPr>
          <w:b/>
          <w:bCs/>
          <w:color w:val="000000" w:themeColor="text1"/>
        </w:rPr>
        <w:t>PATIENCE:</w:t>
      </w:r>
      <w:r w:rsidR="003E14F5">
        <w:rPr>
          <w:color w:val="000000" w:themeColor="text1"/>
        </w:rPr>
        <w:t xml:space="preserve"> Entering 2023, most “experts” agreed on a ’23 recession…the debate was on its timing. Our approach was to be defensively postured, but fully allocated. </w:t>
      </w:r>
      <w:r w:rsidR="00012D8A">
        <w:rPr>
          <w:color w:val="000000" w:themeColor="text1"/>
        </w:rPr>
        <w:t>A</w:t>
      </w:r>
      <w:r w:rsidR="00A25E8B">
        <w:rPr>
          <w:color w:val="000000" w:themeColor="text1"/>
        </w:rPr>
        <w:t>s</w:t>
      </w:r>
      <w:r w:rsidR="00012D8A">
        <w:rPr>
          <w:color w:val="000000" w:themeColor="text1"/>
        </w:rPr>
        <w:t xml:space="preserve"> another 12 months have passed, the recession is still not upon us</w:t>
      </w:r>
      <w:r w:rsidR="00A25E8B">
        <w:rPr>
          <w:color w:val="000000" w:themeColor="text1"/>
        </w:rPr>
        <w:t>,</w:t>
      </w:r>
      <w:r w:rsidR="00012D8A">
        <w:rPr>
          <w:color w:val="000000" w:themeColor="text1"/>
        </w:rPr>
        <w:t xml:space="preserve"> and the pundits are saying a lot of the same things as 12 months prior.</w:t>
      </w:r>
      <w:r w:rsidR="00A25E8B">
        <w:rPr>
          <w:color w:val="000000" w:themeColor="text1"/>
        </w:rPr>
        <w:t xml:space="preserve">  And we recommend patience with those po</w:t>
      </w:r>
      <w:r w:rsidR="00EC7D11">
        <w:rPr>
          <w:color w:val="000000" w:themeColor="text1"/>
        </w:rPr>
        <w:t xml:space="preserve">rtions of the allocation that have lagged in ’23. Dividends, value, and </w:t>
      </w:r>
      <w:r w:rsidR="00237039">
        <w:rPr>
          <w:color w:val="000000" w:themeColor="text1"/>
        </w:rPr>
        <w:t>bonds (until the last 8 weeks) all fared relatively poorly in 2023 versus the Magnificent 7.</w:t>
      </w:r>
    </w:p>
    <w:p w14:paraId="4013BBD3" w14:textId="7482A64E" w:rsidR="00C3008C" w:rsidRDefault="00C3008C" w:rsidP="00531137">
      <w:pPr>
        <w:rPr>
          <w:color w:val="000000" w:themeColor="text1"/>
        </w:rPr>
      </w:pPr>
      <w:r>
        <w:rPr>
          <w:color w:val="000000" w:themeColor="text1"/>
        </w:rPr>
        <w:t xml:space="preserve">As we recently suffered the passing of Charlie Munger, we are reminded of his greatest </w:t>
      </w:r>
      <w:r w:rsidR="002B784F">
        <w:rPr>
          <w:color w:val="000000" w:themeColor="text1"/>
        </w:rPr>
        <w:t>contribution</w:t>
      </w:r>
      <w:r>
        <w:rPr>
          <w:color w:val="000000" w:themeColor="text1"/>
        </w:rPr>
        <w:t xml:space="preserve"> to Warren Buffett’s </w:t>
      </w:r>
      <w:r w:rsidR="002B784F">
        <w:rPr>
          <w:color w:val="000000" w:themeColor="text1"/>
        </w:rPr>
        <w:t xml:space="preserve">investment approach.  Rather than the </w:t>
      </w:r>
      <w:r w:rsidR="00DE4DD4">
        <w:rPr>
          <w:color w:val="000000" w:themeColor="text1"/>
        </w:rPr>
        <w:t xml:space="preserve">dirt-cheap </w:t>
      </w:r>
      <w:r w:rsidR="002B784F">
        <w:rPr>
          <w:color w:val="000000" w:themeColor="text1"/>
        </w:rPr>
        <w:t>“cigar butt” companies</w:t>
      </w:r>
      <w:r w:rsidR="00073A21">
        <w:rPr>
          <w:color w:val="000000" w:themeColor="text1"/>
        </w:rPr>
        <w:t xml:space="preserve"> that</w:t>
      </w:r>
      <w:r w:rsidR="002B784F">
        <w:rPr>
          <w:color w:val="000000" w:themeColor="text1"/>
        </w:rPr>
        <w:t xml:space="preserve"> Benjamin Graham advocated owning</w:t>
      </w:r>
      <w:r w:rsidR="00DE4DD4">
        <w:rPr>
          <w:color w:val="000000" w:themeColor="text1"/>
        </w:rPr>
        <w:t xml:space="preserve">, </w:t>
      </w:r>
      <w:r w:rsidR="002B784F">
        <w:rPr>
          <w:color w:val="000000" w:themeColor="text1"/>
        </w:rPr>
        <w:t>Munger recommended paying a fair price for better businesses.</w:t>
      </w:r>
      <w:r w:rsidR="00DE4DD4">
        <w:rPr>
          <w:color w:val="000000" w:themeColor="text1"/>
        </w:rPr>
        <w:t xml:space="preserve"> The rest is history.</w:t>
      </w:r>
    </w:p>
    <w:p w14:paraId="25B09E6C" w14:textId="7BE24982" w:rsidR="00D40E06" w:rsidRPr="00523107" w:rsidRDefault="00D40E06" w:rsidP="00531137">
      <w:r>
        <w:rPr>
          <w:color w:val="000000" w:themeColor="text1"/>
        </w:rPr>
        <w:t>To us, being early to own high-quality, dividend</w:t>
      </w:r>
      <w:r w:rsidR="0071235B">
        <w:rPr>
          <w:color w:val="000000" w:themeColor="text1"/>
        </w:rPr>
        <w:t xml:space="preserve">-growing stocks </w:t>
      </w:r>
      <w:r>
        <w:rPr>
          <w:color w:val="000000" w:themeColor="text1"/>
        </w:rPr>
        <w:t>doesn’t make us wrong.</w:t>
      </w:r>
      <w:r w:rsidR="0071235B">
        <w:rPr>
          <w:color w:val="000000" w:themeColor="text1"/>
        </w:rPr>
        <w:t xml:space="preserve"> Allocating to </w:t>
      </w:r>
      <w:r w:rsidR="003E1687">
        <w:rPr>
          <w:color w:val="000000" w:themeColor="text1"/>
        </w:rPr>
        <w:t xml:space="preserve">great </w:t>
      </w:r>
      <w:r w:rsidR="0071235B">
        <w:rPr>
          <w:color w:val="000000" w:themeColor="text1"/>
        </w:rPr>
        <w:t xml:space="preserve">non-US </w:t>
      </w:r>
      <w:r w:rsidR="003E1687">
        <w:rPr>
          <w:color w:val="000000" w:themeColor="text1"/>
        </w:rPr>
        <w:t xml:space="preserve">brands still makes sense. Owning a blend of </w:t>
      </w:r>
      <w:r w:rsidR="00010163">
        <w:rPr>
          <w:color w:val="000000" w:themeColor="text1"/>
        </w:rPr>
        <w:t>credit</w:t>
      </w:r>
      <w:r w:rsidR="003E1687">
        <w:rPr>
          <w:color w:val="000000" w:themeColor="text1"/>
        </w:rPr>
        <w:t>-</w:t>
      </w:r>
      <w:r w:rsidR="00186B49">
        <w:rPr>
          <w:color w:val="000000" w:themeColor="text1"/>
        </w:rPr>
        <w:t>sensitive</w:t>
      </w:r>
      <w:r w:rsidR="003E1687">
        <w:rPr>
          <w:color w:val="000000" w:themeColor="text1"/>
        </w:rPr>
        <w:t xml:space="preserve"> and duration-sensitive bonds is </w:t>
      </w:r>
      <w:r w:rsidR="0051317E">
        <w:rPr>
          <w:color w:val="000000" w:themeColor="text1"/>
        </w:rPr>
        <w:t xml:space="preserve">justified and prudent. Patience isn’t sitting idly, but rather intently watching </w:t>
      </w:r>
      <w:r w:rsidR="00F8374D">
        <w:rPr>
          <w:color w:val="000000" w:themeColor="text1"/>
        </w:rPr>
        <w:t>to see what (if anything) warrants a change. For both a professional and retai</w:t>
      </w:r>
      <w:r w:rsidR="005159B9">
        <w:rPr>
          <w:color w:val="000000" w:themeColor="text1"/>
        </w:rPr>
        <w:t xml:space="preserve">l </w:t>
      </w:r>
      <w:r w:rsidR="00F8374D">
        <w:rPr>
          <w:color w:val="000000" w:themeColor="text1"/>
        </w:rPr>
        <w:t xml:space="preserve">investor, doing less </w:t>
      </w:r>
      <w:r w:rsidR="005159B9">
        <w:rPr>
          <w:color w:val="000000" w:themeColor="text1"/>
        </w:rPr>
        <w:t xml:space="preserve">is often the </w:t>
      </w:r>
      <w:r w:rsidR="005159B9" w:rsidRPr="00523107">
        <w:t xml:space="preserve">hardest task! Given how we are positioned entering </w:t>
      </w:r>
      <w:r w:rsidR="005159B9" w:rsidRPr="00523107">
        <w:t>2024, we will not be surprised to be a bit less “active” in 2024.</w:t>
      </w:r>
    </w:p>
    <w:p w14:paraId="50E71753" w14:textId="34EE8CAE" w:rsidR="00A835D8" w:rsidRPr="00523107" w:rsidRDefault="00A835D8" w:rsidP="00531137">
      <w:r w:rsidRPr="00523107">
        <w:rPr>
          <w:b/>
          <w:bCs/>
        </w:rPr>
        <w:t>BALANCE</w:t>
      </w:r>
      <w:r w:rsidRPr="00523107">
        <w:t xml:space="preserve">: </w:t>
      </w:r>
      <w:r w:rsidR="00854FAD" w:rsidRPr="00523107">
        <w:t xml:space="preserve">Rarely has the S&amp;P 500 so dramatically outpaced more </w:t>
      </w:r>
      <w:r w:rsidR="008B3823" w:rsidRPr="00523107">
        <w:t xml:space="preserve">diversified portfolios.  Entering the year’s final 2 months, nearly </w:t>
      </w:r>
      <w:proofErr w:type="gramStart"/>
      <w:r w:rsidR="008B3823" w:rsidRPr="00523107">
        <w:t>all of</w:t>
      </w:r>
      <w:proofErr w:type="gramEnd"/>
      <w:r w:rsidR="008B3823" w:rsidRPr="00523107">
        <w:t xml:space="preserve"> the index’s returns were </w:t>
      </w:r>
      <w:r w:rsidR="005209D5" w:rsidRPr="00523107">
        <w:t>attributable</w:t>
      </w:r>
      <w:r w:rsidR="008B3823" w:rsidRPr="00523107">
        <w:t xml:space="preserve"> to 10 stocks, while small</w:t>
      </w:r>
      <w:r w:rsidR="005209D5" w:rsidRPr="00523107">
        <w:t>-</w:t>
      </w:r>
      <w:r w:rsidR="008B3823" w:rsidRPr="00523107">
        <w:t>cap</w:t>
      </w:r>
      <w:r w:rsidR="005209D5" w:rsidRPr="00523107">
        <w:t>, mid-cap,</w:t>
      </w:r>
      <w:r w:rsidR="008B3823" w:rsidRPr="00523107">
        <w:t xml:space="preserve"> and bonds hovered around </w:t>
      </w:r>
      <w:r w:rsidR="00D12399" w:rsidRPr="00523107">
        <w:t>even for the year.</w:t>
      </w:r>
      <w:r w:rsidR="005209D5" w:rsidRPr="00523107">
        <w:t xml:space="preserve">  The </w:t>
      </w:r>
      <w:r w:rsidR="00283BE4" w:rsidRPr="00523107">
        <w:t>Q4 surge resolved a bit of the gap, but it nonetheless remains. Furthermore</w:t>
      </w:r>
      <w:r w:rsidR="002D5AF2" w:rsidRPr="00523107">
        <w:t xml:space="preserve"> (</w:t>
      </w:r>
      <w:r w:rsidR="00186364" w:rsidRPr="00523107">
        <w:t>FactSe</w:t>
      </w:r>
      <w:r w:rsidR="009224D1" w:rsidRPr="00523107">
        <w:t xml:space="preserve">t, </w:t>
      </w:r>
      <w:r w:rsidR="002D5AF2" w:rsidRPr="00523107">
        <w:t>as of 9/30)</w:t>
      </w:r>
      <w:r w:rsidR="00283BE4" w:rsidRPr="00523107">
        <w:t xml:space="preserve">, valuations </w:t>
      </w:r>
      <w:r w:rsidR="00334C83" w:rsidRPr="00523107">
        <w:t xml:space="preserve">of large-cap US Equities </w:t>
      </w:r>
      <w:r w:rsidR="00A2244E" w:rsidRPr="00523107">
        <w:t>traded</w:t>
      </w:r>
      <w:r w:rsidR="00334C83" w:rsidRPr="00523107">
        <w:t xml:space="preserve"> </w:t>
      </w:r>
      <w:r w:rsidR="002D5AF2" w:rsidRPr="00523107">
        <w:t>~30% above their 20-year average while small-cap value traded at 84% of its 20-year average.</w:t>
      </w:r>
    </w:p>
    <w:p w14:paraId="27D63E72" w14:textId="0986E534" w:rsidR="00A2244E" w:rsidRPr="00523107" w:rsidRDefault="00A2244E" w:rsidP="00531137">
      <w:r w:rsidRPr="00523107">
        <w:t xml:space="preserve">We aren’t selling out of mega-cap growth, but rather scaling it less aggressively </w:t>
      </w:r>
      <w:r w:rsidR="00003E55" w:rsidRPr="00523107">
        <w:t>than returns would tempt one to do.  We believe th</w:t>
      </w:r>
      <w:r w:rsidR="004848FD" w:rsidRPr="00523107">
        <w:t xml:space="preserve">e diversified and risk-managed portfolio we oversee </w:t>
      </w:r>
      <w:proofErr w:type="gramStart"/>
      <w:r w:rsidR="004848FD" w:rsidRPr="00523107">
        <w:t>ha</w:t>
      </w:r>
      <w:r w:rsidR="009224D1" w:rsidRPr="00523107">
        <w:t>ve</w:t>
      </w:r>
      <w:proofErr w:type="gramEnd"/>
      <w:r w:rsidR="004848FD" w:rsidRPr="00523107">
        <w:t xml:space="preserve"> a chance to meaningfully outperform in 2024.  </w:t>
      </w:r>
    </w:p>
    <w:p w14:paraId="077C27F8" w14:textId="0023EC97" w:rsidR="00ED5751" w:rsidRPr="00523107" w:rsidRDefault="00ED5751" w:rsidP="00531137">
      <w:r w:rsidRPr="00523107">
        <w:t>We entered 2023 believing we were positioned to meaningfully outperform in fixed income</w:t>
      </w:r>
      <w:r w:rsidR="00767D22" w:rsidRPr="00523107">
        <w:t xml:space="preserve">…and we did. Even with the </w:t>
      </w:r>
      <w:proofErr w:type="gramStart"/>
      <w:r w:rsidR="00767D22" w:rsidRPr="00523107">
        <w:t>late-year</w:t>
      </w:r>
      <w:proofErr w:type="gramEnd"/>
      <w:r w:rsidR="00767D22" w:rsidRPr="00523107">
        <w:t xml:space="preserve"> surge by the AGG, our fixed income strategies outpaced by 3-5%</w:t>
      </w:r>
      <w:r w:rsidR="004A0A2B" w:rsidRPr="00523107">
        <w:t xml:space="preserve"> with less volatility. While that outper</w:t>
      </w:r>
      <w:r w:rsidR="004E24F4" w:rsidRPr="00523107">
        <w:t xml:space="preserve">formance in bonds may be difficult to duplicate in </w:t>
      </w:r>
      <w:r w:rsidR="003F58F3" w:rsidRPr="00523107">
        <w:t>’</w:t>
      </w:r>
      <w:r w:rsidR="004E24F4" w:rsidRPr="00523107">
        <w:t>24</w:t>
      </w:r>
      <w:r w:rsidR="003F58F3" w:rsidRPr="00523107">
        <w:t>, we are pleased with where we sit</w:t>
      </w:r>
      <w:r w:rsidR="00A62F05" w:rsidRPr="00523107">
        <w:t xml:space="preserve"> and believe the outperformance in ’24 could come from other parts of the portfolio, namely equities.</w:t>
      </w:r>
      <w:r w:rsidR="006B6215" w:rsidRPr="00523107">
        <w:t xml:space="preserve"> </w:t>
      </w:r>
    </w:p>
    <w:p w14:paraId="7A4945DF" w14:textId="0B9DE538" w:rsidR="000E4519" w:rsidRPr="00523107" w:rsidRDefault="007D64FF" w:rsidP="00531137">
      <w:r w:rsidRPr="00523107">
        <w:t xml:space="preserve">As we enter 2024, we </w:t>
      </w:r>
      <w:r w:rsidR="008E65BF" w:rsidRPr="00523107">
        <w:t>do so with strategies designed to participate while also playing defense. Some will do so mechanically (</w:t>
      </w:r>
      <w:r w:rsidR="00A716A9" w:rsidRPr="00523107">
        <w:t>i.e. Buffered</w:t>
      </w:r>
      <w:r w:rsidR="008E65BF" w:rsidRPr="00523107">
        <w:t xml:space="preserve"> ETFs and </w:t>
      </w:r>
      <w:r w:rsidR="00A716A9" w:rsidRPr="00523107">
        <w:t>structured</w:t>
      </w:r>
      <w:r w:rsidR="008E65BF" w:rsidRPr="00523107">
        <w:t xml:space="preserve"> products) while others do so through security selection and discipline (</w:t>
      </w:r>
      <w:r w:rsidR="00A716A9" w:rsidRPr="00523107">
        <w:t xml:space="preserve">i.e. </w:t>
      </w:r>
      <w:r w:rsidR="008E65BF" w:rsidRPr="00523107">
        <w:t>Cash Cows</w:t>
      </w:r>
      <w:r w:rsidR="00A716A9" w:rsidRPr="00523107">
        <w:t xml:space="preserve"> and Covered call strategies). </w:t>
      </w:r>
      <w:r w:rsidR="00583449" w:rsidRPr="00523107">
        <w:t xml:space="preserve">These are not new </w:t>
      </w:r>
      <w:r w:rsidR="001827F5" w:rsidRPr="00523107">
        <w:t xml:space="preserve">components </w:t>
      </w:r>
      <w:r w:rsidR="00583449" w:rsidRPr="00523107">
        <w:t>for most clients, but essential to navigating what even the most seasoned experts</w:t>
      </w:r>
      <w:r w:rsidR="001827F5" w:rsidRPr="00523107">
        <w:t xml:space="preserve"> call confusing and uncertain times.</w:t>
      </w:r>
    </w:p>
    <w:p w14:paraId="38845705" w14:textId="08C29031" w:rsidR="000822F4" w:rsidRPr="00523107" w:rsidRDefault="000822F4" w:rsidP="00531137">
      <w:r w:rsidRPr="00523107">
        <w:rPr>
          <w:b/>
          <w:bCs/>
          <w:i/>
          <w:iCs/>
        </w:rPr>
        <w:t xml:space="preserve">To sum </w:t>
      </w:r>
      <w:r w:rsidR="00B24A55" w:rsidRPr="00523107">
        <w:rPr>
          <w:b/>
          <w:bCs/>
          <w:i/>
          <w:iCs/>
        </w:rPr>
        <w:t>it all up</w:t>
      </w:r>
      <w:r w:rsidR="00B511F8" w:rsidRPr="00523107">
        <w:rPr>
          <w:b/>
          <w:bCs/>
          <w:i/>
          <w:iCs/>
        </w:rPr>
        <w:t>,</w:t>
      </w:r>
      <w:r w:rsidR="00B24A55" w:rsidRPr="00523107">
        <w:rPr>
          <w:b/>
          <w:bCs/>
          <w:i/>
          <w:iCs/>
        </w:rPr>
        <w:t xml:space="preserve"> don’t place big bets </w:t>
      </w:r>
      <w:r w:rsidR="00A05379">
        <w:rPr>
          <w:b/>
          <w:bCs/>
          <w:i/>
          <w:iCs/>
        </w:rPr>
        <w:t>o</w:t>
      </w:r>
      <w:r w:rsidR="00737D74">
        <w:rPr>
          <w:b/>
          <w:bCs/>
          <w:i/>
          <w:iCs/>
        </w:rPr>
        <w:t xml:space="preserve">n predictions about </w:t>
      </w:r>
      <w:r w:rsidR="00B24A55" w:rsidRPr="00523107">
        <w:rPr>
          <w:b/>
          <w:bCs/>
          <w:i/>
          <w:iCs/>
        </w:rPr>
        <w:t>2024</w:t>
      </w:r>
      <w:r w:rsidR="00B24A55" w:rsidRPr="00523107">
        <w:t>.</w:t>
      </w:r>
      <w:r w:rsidR="00925CA2" w:rsidRPr="00523107">
        <w:t xml:space="preserve"> Whether it’s a grind higher or a choppy year, we </w:t>
      </w:r>
      <w:r w:rsidR="00A05379">
        <w:t xml:space="preserve">believe we </w:t>
      </w:r>
      <w:r w:rsidR="00925CA2" w:rsidRPr="00523107">
        <w:t xml:space="preserve">are positioned to </w:t>
      </w:r>
      <w:r w:rsidR="00B511F8" w:rsidRPr="00523107">
        <w:t>hold up well.</w:t>
      </w:r>
    </w:p>
    <w:p w14:paraId="209D6444" w14:textId="1F026845" w:rsidR="00352408" w:rsidRPr="00523107" w:rsidRDefault="00352408" w:rsidP="00783FBB">
      <w:pPr>
        <w:sectPr w:rsidR="00352408" w:rsidRPr="00523107" w:rsidSect="00E969CF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6B6E74CE" w14:textId="77629209" w:rsidR="003412D5" w:rsidRPr="00523107" w:rsidRDefault="00BC72C3" w:rsidP="00014603">
      <w:pPr>
        <w:jc w:val="center"/>
        <w:rPr>
          <w:rFonts w:asciiTheme="majorHAnsi" w:eastAsiaTheme="majorEastAsia" w:hAnsiTheme="majorHAnsi" w:cstheme="majorBidi"/>
          <w:b/>
          <w:caps/>
          <w:color w:val="0070C0"/>
          <w:spacing w:val="20"/>
          <w:sz w:val="36"/>
          <w:szCs w:val="32"/>
          <w:lang w:eastAsia="en-US"/>
        </w:rPr>
        <w:sectPr w:rsidR="003412D5" w:rsidRPr="0052310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523107">
        <w:rPr>
          <w:rFonts w:asciiTheme="majorHAnsi" w:eastAsiaTheme="majorEastAsia" w:hAnsiTheme="majorHAnsi" w:cstheme="majorBidi"/>
          <w:b/>
          <w:caps/>
          <w:color w:val="0070C0"/>
          <w:spacing w:val="20"/>
          <w:sz w:val="36"/>
          <w:szCs w:val="32"/>
          <w:lang w:eastAsia="en-US"/>
        </w:rPr>
        <w:t>But if i was a betting man</w:t>
      </w:r>
      <w:r w:rsidR="00014603" w:rsidRPr="00523107">
        <w:rPr>
          <w:rFonts w:asciiTheme="majorHAnsi" w:eastAsiaTheme="majorEastAsia" w:hAnsiTheme="majorHAnsi" w:cstheme="majorBidi"/>
          <w:b/>
          <w:caps/>
          <w:color w:val="0070C0"/>
          <w:spacing w:val="20"/>
          <w:sz w:val="36"/>
          <w:szCs w:val="32"/>
          <w:lang w:eastAsia="en-US"/>
        </w:rPr>
        <w:t>…</w:t>
      </w:r>
    </w:p>
    <w:p w14:paraId="5CE14741" w14:textId="0B9B95E8" w:rsidR="00912B61" w:rsidRPr="00497100" w:rsidRDefault="002E5AC2" w:rsidP="00E21C70">
      <w:pPr>
        <w:rPr>
          <w:b/>
          <w:bCs/>
          <w:i/>
          <w:iCs/>
        </w:rPr>
      </w:pPr>
      <w:bookmarkStart w:id="1" w:name="_Hlk12360201"/>
      <w:r w:rsidRPr="00497100">
        <w:rPr>
          <w:b/>
          <w:bCs/>
          <w:i/>
          <w:iCs/>
        </w:rPr>
        <w:t xml:space="preserve">OK, betting </w:t>
      </w:r>
      <w:r w:rsidR="00523107">
        <w:rPr>
          <w:b/>
          <w:bCs/>
          <w:i/>
          <w:iCs/>
        </w:rPr>
        <w:t>is</w:t>
      </w:r>
      <w:r w:rsidRPr="00497100">
        <w:rPr>
          <w:b/>
          <w:bCs/>
          <w:i/>
          <w:iCs/>
        </w:rPr>
        <w:t xml:space="preserve"> a poor choice of words. What </w:t>
      </w:r>
      <w:r w:rsidR="00E46FD4" w:rsidRPr="00497100">
        <w:rPr>
          <w:b/>
          <w:bCs/>
          <w:i/>
          <w:iCs/>
        </w:rPr>
        <w:t xml:space="preserve">exposures would we want </w:t>
      </w:r>
      <w:r w:rsidR="00514A05" w:rsidRPr="00497100">
        <w:rPr>
          <w:b/>
          <w:bCs/>
          <w:i/>
          <w:iCs/>
        </w:rPr>
        <w:t>(knowing the potential volatility along the way) t</w:t>
      </w:r>
      <w:r w:rsidR="00F2572F" w:rsidRPr="00497100">
        <w:rPr>
          <w:b/>
          <w:bCs/>
          <w:i/>
          <w:iCs/>
        </w:rPr>
        <w:t xml:space="preserve">hat we believe could have huge upside potential </w:t>
      </w:r>
      <w:r w:rsidR="00E46FD4" w:rsidRPr="00497100">
        <w:rPr>
          <w:b/>
          <w:bCs/>
          <w:i/>
          <w:iCs/>
        </w:rPr>
        <w:t>over the next 5 years?</w:t>
      </w:r>
    </w:p>
    <w:p w14:paraId="68908E3E" w14:textId="33DECB63" w:rsidR="00005E87" w:rsidRPr="00497100" w:rsidRDefault="00CF18A0" w:rsidP="00E21C70">
      <w:r w:rsidRPr="00497100">
        <w:t>Following</w:t>
      </w:r>
      <w:r w:rsidR="00497100" w:rsidRPr="00497100">
        <w:t xml:space="preserve"> is</w:t>
      </w:r>
      <w:r w:rsidR="00844746" w:rsidRPr="00497100">
        <w:t xml:space="preserve"> a list of themes we believe could </w:t>
      </w:r>
      <w:r w:rsidR="00005E87" w:rsidRPr="00497100">
        <w:t xml:space="preserve">provide investors with outsized gains if they </w:t>
      </w:r>
      <w:r w:rsidR="00497100" w:rsidRPr="00497100">
        <w:t xml:space="preserve">fully </w:t>
      </w:r>
      <w:r w:rsidR="00005E87" w:rsidRPr="00497100">
        <w:t>materialize:</w:t>
      </w:r>
    </w:p>
    <w:p w14:paraId="025A165D" w14:textId="7D902200" w:rsidR="00005E87" w:rsidRPr="00497100" w:rsidRDefault="00005E87" w:rsidP="00497100">
      <w:pPr>
        <w:pStyle w:val="ListParagraph"/>
        <w:numPr>
          <w:ilvl w:val="0"/>
          <w:numId w:val="19"/>
        </w:numPr>
        <w:contextualSpacing w:val="0"/>
        <w:rPr>
          <w:sz w:val="22"/>
          <w:szCs w:val="24"/>
        </w:rPr>
      </w:pPr>
      <w:r w:rsidRPr="00497100">
        <w:rPr>
          <w:sz w:val="22"/>
          <w:szCs w:val="24"/>
        </w:rPr>
        <w:t>India</w:t>
      </w:r>
    </w:p>
    <w:p w14:paraId="3958E704" w14:textId="289C678D" w:rsidR="00005E87" w:rsidRPr="00497100" w:rsidRDefault="00005E87" w:rsidP="00497100">
      <w:pPr>
        <w:pStyle w:val="ListParagraph"/>
        <w:numPr>
          <w:ilvl w:val="0"/>
          <w:numId w:val="19"/>
        </w:numPr>
        <w:contextualSpacing w:val="0"/>
        <w:rPr>
          <w:sz w:val="22"/>
          <w:szCs w:val="24"/>
        </w:rPr>
      </w:pPr>
      <w:r w:rsidRPr="00497100">
        <w:rPr>
          <w:sz w:val="22"/>
          <w:szCs w:val="24"/>
        </w:rPr>
        <w:t>Japan</w:t>
      </w:r>
      <w:r w:rsidR="00B13297" w:rsidRPr="00497100">
        <w:rPr>
          <w:sz w:val="22"/>
          <w:szCs w:val="24"/>
        </w:rPr>
        <w:t>ese equities</w:t>
      </w:r>
    </w:p>
    <w:p w14:paraId="309BFDDF" w14:textId="7CDEFC24" w:rsidR="00B13297" w:rsidRDefault="00B13297" w:rsidP="00497100">
      <w:pPr>
        <w:pStyle w:val="ListParagraph"/>
        <w:numPr>
          <w:ilvl w:val="0"/>
          <w:numId w:val="19"/>
        </w:numPr>
        <w:contextualSpacing w:val="0"/>
        <w:rPr>
          <w:sz w:val="22"/>
          <w:szCs w:val="24"/>
        </w:rPr>
      </w:pPr>
      <w:r w:rsidRPr="00497100">
        <w:rPr>
          <w:sz w:val="22"/>
          <w:szCs w:val="24"/>
        </w:rPr>
        <w:t>AI-related companies</w:t>
      </w:r>
    </w:p>
    <w:p w14:paraId="3970534C" w14:textId="2D6896CC" w:rsidR="00640A43" w:rsidRPr="00497100" w:rsidRDefault="00640A43" w:rsidP="00497100">
      <w:pPr>
        <w:pStyle w:val="ListParagraph"/>
        <w:numPr>
          <w:ilvl w:val="0"/>
          <w:numId w:val="19"/>
        </w:numPr>
        <w:contextualSpacing w:val="0"/>
        <w:rPr>
          <w:sz w:val="22"/>
          <w:szCs w:val="24"/>
        </w:rPr>
      </w:pPr>
      <w:r>
        <w:rPr>
          <w:sz w:val="22"/>
          <w:szCs w:val="24"/>
        </w:rPr>
        <w:lastRenderedPageBreak/>
        <w:t>Cybersecurity</w:t>
      </w:r>
    </w:p>
    <w:p w14:paraId="5C0C3BA8" w14:textId="48276310" w:rsidR="00B13297" w:rsidRDefault="00B13297" w:rsidP="00497100">
      <w:pPr>
        <w:pStyle w:val="ListParagraph"/>
        <w:numPr>
          <w:ilvl w:val="0"/>
          <w:numId w:val="19"/>
        </w:numPr>
        <w:contextualSpacing w:val="0"/>
        <w:rPr>
          <w:sz w:val="22"/>
          <w:szCs w:val="24"/>
        </w:rPr>
      </w:pPr>
      <w:r w:rsidRPr="00497100">
        <w:rPr>
          <w:sz w:val="22"/>
          <w:szCs w:val="24"/>
        </w:rPr>
        <w:t>GLP1 (weight-loss) drug</w:t>
      </w:r>
      <w:r w:rsidR="00CF18A0" w:rsidRPr="00497100">
        <w:rPr>
          <w:sz w:val="22"/>
          <w:szCs w:val="24"/>
        </w:rPr>
        <w:t xml:space="preserve"> companies</w:t>
      </w:r>
    </w:p>
    <w:p w14:paraId="74B7321A" w14:textId="627C91A1" w:rsidR="00640A43" w:rsidRDefault="00640A43" w:rsidP="00E21C70">
      <w:r w:rsidRPr="00952CF1">
        <w:t xml:space="preserve">A well-diversified portfolio cannot help but have exposure to </w:t>
      </w:r>
      <w:r w:rsidR="00737D74">
        <w:t>each</w:t>
      </w:r>
      <w:r w:rsidR="00196714">
        <w:t xml:space="preserve"> of</w:t>
      </w:r>
      <w:r w:rsidRPr="00952CF1">
        <w:t xml:space="preserve"> these </w:t>
      </w:r>
      <w:r w:rsidR="00952CF1" w:rsidRPr="00952CF1">
        <w:t xml:space="preserve">opportunities.  Nevertheless, </w:t>
      </w:r>
      <w:r w:rsidR="00B548B9">
        <w:t>we share this list because some clients want increased exposure to high-conviction ideas at times.</w:t>
      </w:r>
      <w:r w:rsidR="00B95AAC">
        <w:t xml:space="preserve">  </w:t>
      </w:r>
      <w:r w:rsidR="00B95AAC" w:rsidRPr="006607B5">
        <w:rPr>
          <w:b/>
          <w:bCs/>
          <w:i/>
          <w:iCs/>
        </w:rPr>
        <w:t xml:space="preserve">If that’s you, please reach out to us to </w:t>
      </w:r>
      <w:r w:rsidR="00196714" w:rsidRPr="006607B5">
        <w:rPr>
          <w:b/>
          <w:bCs/>
          <w:i/>
          <w:iCs/>
        </w:rPr>
        <w:t>discuss it</w:t>
      </w:r>
      <w:r w:rsidR="006607B5" w:rsidRPr="006607B5">
        <w:rPr>
          <w:b/>
          <w:bCs/>
          <w:i/>
          <w:iCs/>
        </w:rPr>
        <w:t xml:space="preserve"> </w:t>
      </w:r>
      <w:r w:rsidR="00A00BBB">
        <w:rPr>
          <w:b/>
          <w:bCs/>
          <w:i/>
          <w:iCs/>
        </w:rPr>
        <w:t>with us</w:t>
      </w:r>
      <w:r w:rsidR="00B95AAC" w:rsidRPr="006607B5">
        <w:rPr>
          <w:b/>
          <w:bCs/>
          <w:i/>
          <w:iCs/>
        </w:rPr>
        <w:t xml:space="preserve"> at greater length.</w:t>
      </w:r>
    </w:p>
    <w:p w14:paraId="70D88857" w14:textId="7C56195D" w:rsidR="00D25FF3" w:rsidRDefault="00B95AAC" w:rsidP="00E21C70">
      <w:r>
        <w:t>I</w:t>
      </w:r>
      <w:r w:rsidR="00D25FF3">
        <w:t>ndia</w:t>
      </w:r>
      <w:r w:rsidR="006E3BA2">
        <w:t xml:space="preserve"> is now the world’s most populus nation, </w:t>
      </w:r>
      <w:r w:rsidR="00780EAA">
        <w:t xml:space="preserve">a young democracy with </w:t>
      </w:r>
      <w:r w:rsidR="00196714">
        <w:t>a young population</w:t>
      </w:r>
      <w:r w:rsidR="00780EAA">
        <w:t xml:space="preserve">. Many draw parallels to China </w:t>
      </w:r>
      <w:r w:rsidR="00A03D0F">
        <w:t>at</w:t>
      </w:r>
      <w:r w:rsidR="00780EAA">
        <w:t xml:space="preserve"> the turn of the </w:t>
      </w:r>
      <w:r w:rsidR="00A03D0F">
        <w:t xml:space="preserve">last </w:t>
      </w:r>
      <w:r w:rsidR="00D25FF3">
        <w:t>millennium</w:t>
      </w:r>
      <w:r w:rsidR="00780EAA">
        <w:t>.</w:t>
      </w:r>
      <w:r w:rsidR="00D25FF3">
        <w:t xml:space="preserve">  Japan, in contrast, boasts a very old population, but great businesses that are being encouraged to modernize their approach to capital</w:t>
      </w:r>
      <w:r w:rsidR="00A03D0F">
        <w:t xml:space="preserve"> allocation and growth</w:t>
      </w:r>
      <w:r w:rsidR="00D25FF3">
        <w:t>.</w:t>
      </w:r>
      <w:r w:rsidR="00A672DB">
        <w:t xml:space="preserve"> </w:t>
      </w:r>
    </w:p>
    <w:p w14:paraId="4878FFC2" w14:textId="3FFE5D52" w:rsidR="00136EC0" w:rsidRDefault="00136EC0" w:rsidP="00E21C70">
      <w:r>
        <w:t xml:space="preserve">AI seems destined to be a game-changer, but whether that change is akin to the 4G/5G </w:t>
      </w:r>
      <w:r w:rsidR="00E10E1D">
        <w:t xml:space="preserve">scale </w:t>
      </w:r>
      <w:r w:rsidR="00704934">
        <w:t xml:space="preserve">change </w:t>
      </w:r>
      <w:r w:rsidR="00E10E1D">
        <w:t xml:space="preserve">or that of the introduction of the internet remains to be seen.  A lot of optimism was baked into </w:t>
      </w:r>
      <w:r w:rsidR="00EE65E6">
        <w:t>the price</w:t>
      </w:r>
      <w:r w:rsidR="00704934">
        <w:t xml:space="preserve"> of </w:t>
      </w:r>
      <w:r w:rsidR="00A64D81">
        <w:t>pioneers in the AI space in 2023. This one will likely take some patience in the next 2-3 years to reap the full reward.</w:t>
      </w:r>
    </w:p>
    <w:p w14:paraId="1B241C9C" w14:textId="1DC4D339" w:rsidR="00CC156C" w:rsidRDefault="00CC156C" w:rsidP="00E21C70">
      <w:r>
        <w:t xml:space="preserve">Cybersecurity was the buzzword of the year about 5 years </w:t>
      </w:r>
      <w:r w:rsidR="006050D1">
        <w:t>ago but</w:t>
      </w:r>
      <w:r>
        <w:t xml:space="preserve"> is mo</w:t>
      </w:r>
      <w:r w:rsidR="007F0584">
        <w:t>re critical now than ever before.</w:t>
      </w:r>
      <w:r w:rsidR="00675706">
        <w:t xml:space="preserve"> The list of hacked, </w:t>
      </w:r>
      <w:r w:rsidR="006050D1">
        <w:t>breached,</w:t>
      </w:r>
      <w:r w:rsidR="00675706">
        <w:t xml:space="preserve"> or ransomed companies is mind-boggling. I’ve yet to hear of a CEO declaring that his company will spend less on cybersecurity </w:t>
      </w:r>
      <w:r w:rsidR="006050D1">
        <w:t xml:space="preserve">any time soon.  It will not be surprising to see </w:t>
      </w:r>
      <w:r w:rsidR="00664F39">
        <w:t>leadership in this space continue to grow at 15-20%/year over the decade ahead.</w:t>
      </w:r>
      <w:r w:rsidR="003C7648">
        <w:t xml:space="preserve"> Ownership of these companies exists across traditional strategies, but specialized ETFs also exist.</w:t>
      </w:r>
    </w:p>
    <w:p w14:paraId="4A06F52C" w14:textId="1BDCEC3B" w:rsidR="00AB47DA" w:rsidRDefault="00AB47DA" w:rsidP="00E21C70">
      <w:r>
        <w:t>Perhaps the biggest game-changer of 2024 will ultimately be the approval of the GLP1 drugs for weight-loss.</w:t>
      </w:r>
      <w:r w:rsidR="001E5ADA">
        <w:t xml:space="preserve"> Not only can the 2 companies each garner huge </w:t>
      </w:r>
      <w:r w:rsidR="00321E67">
        <w:t>profits but</w:t>
      </w:r>
      <w:r w:rsidR="001E5ADA">
        <w:t xml:space="preserve"> expect further research and innovation to emerge because of these approvals.</w:t>
      </w:r>
      <w:r w:rsidR="002F0469">
        <w:t xml:space="preserve"> Biotech has lagged in 2023, but don’t be surprised to see some big wins ahead in the coming years…Covid sped up the approval and timeline of several technologies and AI </w:t>
      </w:r>
      <w:r w:rsidR="00321E67">
        <w:t>makes processing data faster than ever.  Throw in the collaborative software capabilities introduced during Covid and we will be shocked if many new therapies aren’t upon us in the next 5-7 years.</w:t>
      </w:r>
    </w:p>
    <w:p w14:paraId="1B4E578E" w14:textId="36EA8242" w:rsidR="00E1225D" w:rsidRPr="00CD5257" w:rsidRDefault="00D25FF3" w:rsidP="00321E67">
      <w:pPr>
        <w:rPr>
          <w:color w:val="FF0000"/>
        </w:rPr>
      </w:pPr>
      <w:r>
        <w:t xml:space="preserve"> </w:t>
      </w:r>
    </w:p>
    <w:p w14:paraId="3F78D946" w14:textId="5BA0DBB6" w:rsidR="001353FA" w:rsidRPr="00CD5257" w:rsidRDefault="001353FA" w:rsidP="001353FA">
      <w:pPr>
        <w:rPr>
          <w:color w:val="FF0000"/>
        </w:rPr>
        <w:sectPr w:rsidR="001353FA" w:rsidRPr="00CD5257" w:rsidSect="00390C58">
          <w:type w:val="continuous"/>
          <w:pgSz w:w="12240" w:h="15840"/>
          <w:pgMar w:top="1080" w:right="1080" w:bottom="1080" w:left="1080" w:header="720" w:footer="720" w:gutter="0"/>
          <w:cols w:num="2" w:space="432"/>
          <w:docGrid w:linePitch="360"/>
        </w:sectPr>
      </w:pPr>
    </w:p>
    <w:p w14:paraId="2D3EC4C3" w14:textId="6570FB92" w:rsidR="00166CAF" w:rsidRPr="00B05000" w:rsidRDefault="00680924" w:rsidP="00D82DCF">
      <w:pPr>
        <w:jc w:val="center"/>
        <w:rPr>
          <w:color w:val="0070C0"/>
          <w:lang w:eastAsia="en-US"/>
        </w:rPr>
        <w:sectPr w:rsidR="00166CAF" w:rsidRPr="00B05000" w:rsidSect="003D4002">
          <w:type w:val="continuous"/>
          <w:pgSz w:w="12240" w:h="15840"/>
          <w:pgMar w:top="1080" w:right="1080" w:bottom="1080" w:left="1080" w:header="720" w:footer="720" w:gutter="0"/>
          <w:cols w:space="432"/>
          <w:docGrid w:linePitch="360"/>
        </w:sectPr>
      </w:pPr>
      <w:bookmarkStart w:id="2" w:name="_Hlk154497382"/>
      <w:r w:rsidRPr="00B05000">
        <w:rPr>
          <w:rFonts w:asciiTheme="majorHAnsi" w:eastAsiaTheme="majorEastAsia" w:hAnsiTheme="majorHAnsi" w:cstheme="majorBidi"/>
          <w:b/>
          <w:caps/>
          <w:noProof/>
          <w:color w:val="0070C0"/>
          <w:spacing w:val="20"/>
          <w:sz w:val="36"/>
          <w:szCs w:val="32"/>
          <w:lang w:eastAsia="en-US"/>
        </w:rPr>
        <w:t>2024</w:t>
      </w:r>
      <w:r w:rsidR="00CA6961" w:rsidRPr="00B05000">
        <w:rPr>
          <w:rFonts w:asciiTheme="majorHAnsi" w:eastAsiaTheme="majorEastAsia" w:hAnsiTheme="majorHAnsi" w:cstheme="majorBidi"/>
          <w:b/>
          <w:caps/>
          <w:noProof/>
          <w:color w:val="0070C0"/>
          <w:spacing w:val="20"/>
          <w:sz w:val="36"/>
          <w:szCs w:val="32"/>
          <w:lang w:eastAsia="en-US"/>
        </w:rPr>
        <w:t>’s</w:t>
      </w:r>
      <w:r w:rsidRPr="00B05000">
        <w:rPr>
          <w:rFonts w:asciiTheme="majorHAnsi" w:eastAsiaTheme="majorEastAsia" w:hAnsiTheme="majorHAnsi" w:cstheme="majorBidi"/>
          <w:b/>
          <w:caps/>
          <w:noProof/>
          <w:color w:val="0070C0"/>
          <w:spacing w:val="20"/>
          <w:sz w:val="36"/>
          <w:szCs w:val="32"/>
          <w:lang w:eastAsia="en-US"/>
        </w:rPr>
        <w:t xml:space="preserve"> Best Bet could again be bonds</w:t>
      </w:r>
    </w:p>
    <w:p w14:paraId="4EBDBDD7" w14:textId="41EAECED" w:rsidR="00AA1A72" w:rsidRPr="00CA6961" w:rsidRDefault="00680924" w:rsidP="00CC66C8">
      <w:r w:rsidRPr="00EE65E6">
        <w:t xml:space="preserve">The final </w:t>
      </w:r>
      <w:r w:rsidR="00AA1A72" w:rsidRPr="00EE65E6">
        <w:t>two</w:t>
      </w:r>
      <w:r w:rsidRPr="00EE65E6">
        <w:t xml:space="preserve"> months’ rally in </w:t>
      </w:r>
      <w:r w:rsidRPr="00CA6961">
        <w:t xml:space="preserve">bonds during 2023 </w:t>
      </w:r>
      <w:r w:rsidR="00AA1A72" w:rsidRPr="00CA6961">
        <w:t xml:space="preserve">pulled forward returns many anticipated from bonds in 2024. </w:t>
      </w:r>
      <w:r w:rsidR="004923BF" w:rsidRPr="00CA6961">
        <w:t>Th</w:t>
      </w:r>
      <w:r w:rsidR="008013C6" w:rsidRPr="00CA6961">
        <w:t>a</w:t>
      </w:r>
      <w:r w:rsidR="004923BF" w:rsidRPr="00CA6961">
        <w:t>t doesn’t leave bonds unattractive, however.</w:t>
      </w:r>
    </w:p>
    <w:p w14:paraId="28652B83" w14:textId="4C42F9FC" w:rsidR="006C3DF2" w:rsidRDefault="008013C6" w:rsidP="00CC66C8">
      <w:r w:rsidRPr="00CA6961">
        <w:t xml:space="preserve">The Federal Reserve’s </w:t>
      </w:r>
      <w:r w:rsidR="00AD60E2" w:rsidRPr="00CA6961">
        <w:t xml:space="preserve">latest statement and press conference reinforced the idea that rates have peaked and that cuts are ahead. The timing, scale, and speed are </w:t>
      </w:r>
      <w:r w:rsidR="006C3DF2" w:rsidRPr="00CA6961">
        <w:t xml:space="preserve">still very much TBD. </w:t>
      </w:r>
    </w:p>
    <w:p w14:paraId="6EC59C3B" w14:textId="20988A51" w:rsidR="008A27F1" w:rsidRPr="00CA6961" w:rsidRDefault="008A27F1" w:rsidP="00CC66C8">
      <w:r>
        <w:t>As noted in the opening section, year-end projections for the 10-year treasury still vary widely. We would not be shocked if it ends the year about where it starts</w:t>
      </w:r>
      <w:r w:rsidR="009D394C">
        <w:t>…with some uncomfortable swings along the way</w:t>
      </w:r>
      <w:r>
        <w:t>.</w:t>
      </w:r>
    </w:p>
    <w:p w14:paraId="56E53439" w14:textId="6C253D0B" w:rsidR="00852875" w:rsidRPr="00CA6961" w:rsidRDefault="0013618F" w:rsidP="00CC66C8">
      <w:r w:rsidRPr="00CA6961">
        <w:t xml:space="preserve">As a reminder, bond strategies vary as widely as those for stocks. </w:t>
      </w:r>
      <w:r w:rsidR="00C17918" w:rsidRPr="00CA6961">
        <w:t xml:space="preserve">Across strategies, yields are </w:t>
      </w:r>
      <w:r w:rsidR="00AD0FA6" w:rsidRPr="00CA6961">
        <w:t>meaningfully higher than at most points this century. Furthermore, the credit complex remains gen</w:t>
      </w:r>
      <w:r w:rsidR="000E342E" w:rsidRPr="00CA6961">
        <w:t>erally healthy. Couple high absolute yields with flat to declining yields and it’s ea</w:t>
      </w:r>
      <w:r w:rsidR="00F13E83" w:rsidRPr="00CA6961">
        <w:t>s</w:t>
      </w:r>
      <w:r w:rsidR="000E342E" w:rsidRPr="00CA6961">
        <w:t xml:space="preserve">y to see bonds offer a </w:t>
      </w:r>
      <w:r w:rsidR="00F13E83" w:rsidRPr="00CA6961">
        <w:t>healthy return in 2024.</w:t>
      </w:r>
    </w:p>
    <w:p w14:paraId="52D7987B" w14:textId="73BB4BA8" w:rsidR="00FA3838" w:rsidRDefault="00F13E83" w:rsidP="00CC66C8">
      <w:r w:rsidRPr="00CA6961">
        <w:t xml:space="preserve">What we </w:t>
      </w:r>
      <w:r w:rsidR="009D394C">
        <w:t>are</w:t>
      </w:r>
      <w:r w:rsidRPr="00CA6961">
        <w:t xml:space="preserve"> NOT recommending is a big “reach” for duration.</w:t>
      </w:r>
      <w:r w:rsidR="00D41F87" w:rsidRPr="00CA6961">
        <w:t xml:space="preserve"> While a longer duration would have been rewarded in November and December, </w:t>
      </w:r>
      <w:r w:rsidR="00391257" w:rsidRPr="00CA6961">
        <w:t xml:space="preserve">it was punished the prior 2 years. We have been </w:t>
      </w:r>
      <w:r w:rsidR="00A672DB">
        <w:t xml:space="preserve">systematically </w:t>
      </w:r>
      <w:r w:rsidR="00391257" w:rsidRPr="00CA6961">
        <w:t>adding duration for clients to give us less reinvestment risk and to capture higher yields for longer</w:t>
      </w:r>
      <w:r w:rsidR="00F27CC2" w:rsidRPr="00CA6961">
        <w:t xml:space="preserve"> </w:t>
      </w:r>
      <w:r w:rsidR="00F76320">
        <w:t xml:space="preserve">as we also </w:t>
      </w:r>
      <w:r w:rsidR="00F27CC2" w:rsidRPr="00CA6961">
        <w:t xml:space="preserve">upgrade the </w:t>
      </w:r>
      <w:r w:rsidR="00F76320">
        <w:t xml:space="preserve">credit </w:t>
      </w:r>
      <w:r w:rsidR="00F27CC2" w:rsidRPr="00CA6961">
        <w:t xml:space="preserve">quality of </w:t>
      </w:r>
      <w:bookmarkEnd w:id="2"/>
      <w:r w:rsidR="00F27CC2" w:rsidRPr="00CA6961">
        <w:t xml:space="preserve">portfolios.  </w:t>
      </w:r>
    </w:p>
    <w:p w14:paraId="022ED8DF" w14:textId="644FAED8" w:rsidR="00F13E83" w:rsidRPr="00CA6961" w:rsidRDefault="009D394C" w:rsidP="00CC66C8">
      <w:r>
        <w:t xml:space="preserve">Adding duration </w:t>
      </w:r>
      <w:r w:rsidR="00A66A79">
        <w:t xml:space="preserve">for our clients has meant </w:t>
      </w:r>
      <w:r>
        <w:t xml:space="preserve">that we have moved a portion of allocations from </w:t>
      </w:r>
      <w:r w:rsidR="000F72F6">
        <w:t xml:space="preserve">short and ultra-short to the </w:t>
      </w:r>
      <w:proofErr w:type="gramStart"/>
      <w:r w:rsidR="000F72F6">
        <w:t>3-4 year</w:t>
      </w:r>
      <w:proofErr w:type="gramEnd"/>
      <w:r w:rsidR="000F72F6">
        <w:t xml:space="preserve"> part of the curve.  </w:t>
      </w:r>
      <w:r w:rsidR="00F27CC2" w:rsidRPr="00CA6961">
        <w:t>M</w:t>
      </w:r>
      <w:r w:rsidR="00C74242" w:rsidRPr="00CA6961">
        <w:t>ost</w:t>
      </w:r>
      <w:r w:rsidR="00F27CC2" w:rsidRPr="00CA6961">
        <w:t xml:space="preserve"> of our </w:t>
      </w:r>
      <w:r w:rsidR="00CD341E" w:rsidRPr="00CA6961">
        <w:t xml:space="preserve">diversified </w:t>
      </w:r>
      <w:r w:rsidR="00F27CC2" w:rsidRPr="00CA6961">
        <w:t xml:space="preserve">fixed income portfolios project an income stream </w:t>
      </w:r>
      <w:r w:rsidR="00CD341E" w:rsidRPr="00CA6961">
        <w:t>of ~</w:t>
      </w:r>
      <w:r w:rsidR="00C74242" w:rsidRPr="00CA6961">
        <w:t xml:space="preserve">6% for the year ahead and a duration </w:t>
      </w:r>
      <w:r w:rsidR="00CA6961" w:rsidRPr="00CA6961">
        <w:t xml:space="preserve">less than half that of the </w:t>
      </w:r>
      <w:proofErr w:type="gramStart"/>
      <w:r w:rsidR="00CA6961" w:rsidRPr="00CA6961">
        <w:t>AGG</w:t>
      </w:r>
      <w:r w:rsidR="00FA3838">
        <w:t>(</w:t>
      </w:r>
      <w:proofErr w:type="gramEnd"/>
      <w:r w:rsidR="00FA3838">
        <w:t>3-3.5 years)</w:t>
      </w:r>
      <w:r w:rsidR="00CA6961" w:rsidRPr="00CA6961">
        <w:t>.</w:t>
      </w:r>
    </w:p>
    <w:p w14:paraId="562C58E7" w14:textId="14A70B82" w:rsidR="00B05000" w:rsidRPr="00B05000" w:rsidRDefault="00B05000" w:rsidP="000E0B63">
      <w:pPr>
        <w:sectPr w:rsidR="00B05000" w:rsidRPr="00B05000" w:rsidSect="00CC66C8">
          <w:type w:val="continuous"/>
          <w:pgSz w:w="12240" w:h="15840"/>
          <w:pgMar w:top="1080" w:right="1080" w:bottom="1080" w:left="1080" w:header="720" w:footer="720" w:gutter="0"/>
          <w:cols w:num="2" w:space="432"/>
          <w:docGrid w:linePitch="360"/>
        </w:sectPr>
      </w:pPr>
      <w:r w:rsidRPr="00B05000">
        <w:t xml:space="preserve">We maintain confidence in and </w:t>
      </w:r>
      <w:r w:rsidR="003444FF">
        <w:t xml:space="preserve">risk-managed </w:t>
      </w:r>
      <w:r w:rsidRPr="00B05000">
        <w:t xml:space="preserve">allocations to equities headed into 2024. </w:t>
      </w:r>
      <w:r w:rsidR="00C67A0D">
        <w:t>I</w:t>
      </w:r>
      <w:r w:rsidRPr="00B05000">
        <w:t xml:space="preserve">t </w:t>
      </w:r>
      <w:proofErr w:type="gramStart"/>
      <w:r w:rsidRPr="00B05000">
        <w:t>would</w:t>
      </w:r>
      <w:proofErr w:type="gramEnd"/>
      <w:r w:rsidRPr="00B05000">
        <w:t xml:space="preserve"> not shock us if our fixed income returns for clients approach </w:t>
      </w:r>
      <w:r w:rsidR="00C67A0D">
        <w:t xml:space="preserve">or exceed </w:t>
      </w:r>
      <w:r w:rsidRPr="00B05000">
        <w:t>that of the S&amp;P 500 in 2024.</w:t>
      </w:r>
    </w:p>
    <w:p w14:paraId="3913EEF4" w14:textId="7AAF4D06" w:rsidR="00F023DE" w:rsidRPr="00B454D4" w:rsidRDefault="00B05000" w:rsidP="009D4E6F">
      <w:pPr>
        <w:pStyle w:val="Heading1"/>
        <w:rPr>
          <w:b/>
          <w:color w:val="0070C0"/>
          <w:sz w:val="36"/>
        </w:rPr>
      </w:pPr>
      <w:r w:rsidRPr="00B454D4">
        <w:rPr>
          <w:b/>
          <w:color w:val="0070C0"/>
          <w:sz w:val="36"/>
        </w:rPr>
        <w:lastRenderedPageBreak/>
        <w:t>Don’t Bet Much on your Candidate…</w:t>
      </w:r>
    </w:p>
    <w:p w14:paraId="56B375AF" w14:textId="77777777" w:rsidR="00D57A1E" w:rsidRDefault="00D57A1E" w:rsidP="00D57A1E">
      <w:pPr>
        <w:jc w:val="center"/>
        <w:rPr>
          <w:color w:val="0070C0"/>
          <w:lang w:eastAsia="en-US"/>
        </w:rPr>
      </w:pPr>
    </w:p>
    <w:p w14:paraId="194792F1" w14:textId="70E9F266" w:rsidR="00B454D4" w:rsidRPr="00B05000" w:rsidRDefault="00B454D4" w:rsidP="00D57A1E">
      <w:pPr>
        <w:jc w:val="center"/>
        <w:rPr>
          <w:color w:val="0070C0"/>
          <w:lang w:eastAsia="en-US"/>
        </w:rPr>
        <w:sectPr w:rsidR="00B454D4" w:rsidRPr="00B05000" w:rsidSect="003D4002">
          <w:type w:val="continuous"/>
          <w:pgSz w:w="12240" w:h="15840"/>
          <w:pgMar w:top="1080" w:right="1080" w:bottom="1080" w:left="1080" w:header="720" w:footer="720" w:gutter="0"/>
          <w:cols w:space="432"/>
          <w:docGrid w:linePitch="360"/>
        </w:sectPr>
      </w:pPr>
    </w:p>
    <w:p w14:paraId="7357855F" w14:textId="1423370A" w:rsidR="00B454D4" w:rsidRDefault="00B454D4" w:rsidP="00D57A1E">
      <w:r>
        <w:t xml:space="preserve">Each election cycle, we try to remind clients how minimally the Presidential election </w:t>
      </w:r>
      <w:r w:rsidR="00C833ED">
        <w:t xml:space="preserve">impacts the returns of the stock market that year and those that follow.  It isn’t that the outcome doesn’t matter, but rather that the </w:t>
      </w:r>
      <w:r w:rsidR="00504893">
        <w:t xml:space="preserve">proposed/feared </w:t>
      </w:r>
      <w:r w:rsidR="00C833ED">
        <w:t>policies of a</w:t>
      </w:r>
      <w:r w:rsidR="00C67A0D">
        <w:t xml:space="preserve"> candidate</w:t>
      </w:r>
      <w:r w:rsidR="00C833ED">
        <w:t xml:space="preserve"> </w:t>
      </w:r>
      <w:r w:rsidR="00504893">
        <w:t xml:space="preserve">seldom </w:t>
      </w:r>
      <w:r w:rsidR="00C833ED">
        <w:t xml:space="preserve">have huge nor immediate impacts. </w:t>
      </w:r>
    </w:p>
    <w:p w14:paraId="64CD3CCE" w14:textId="397EE7DF" w:rsidR="00AE5EB8" w:rsidRDefault="00816B53" w:rsidP="00D57A1E">
      <w:r>
        <w:t>Too often investors allow political preference and the fear/excitement of a candidate to cloud their judgment as investors.</w:t>
      </w:r>
      <w:r w:rsidR="00F922FD">
        <w:t xml:space="preserve">  Investing based on the </w:t>
      </w:r>
      <w:r w:rsidR="00660C0B">
        <w:t xml:space="preserve">road ahead is far better than driving while looking </w:t>
      </w:r>
      <w:r w:rsidR="00AE5EB8">
        <w:t xml:space="preserve">only in the </w:t>
      </w:r>
      <w:r w:rsidR="00B14DB0">
        <w:t>rear-view</w:t>
      </w:r>
      <w:r w:rsidR="00AE5EB8">
        <w:t xml:space="preserve"> mirror. An investor who doesn’t like the current administration would have missed a </w:t>
      </w:r>
      <w:r w:rsidR="00B14DB0">
        <w:t xml:space="preserve">double-digit return in 2023 by sitting on the sidelines. Investors who sold overnight after the </w:t>
      </w:r>
      <w:r w:rsidR="00B14DB0">
        <w:t xml:space="preserve">2016 election were punished for the </w:t>
      </w:r>
      <w:r w:rsidR="005C46A6">
        <w:t xml:space="preserve">negative </w:t>
      </w:r>
      <w:r w:rsidR="00B14DB0">
        <w:t xml:space="preserve">bet </w:t>
      </w:r>
      <w:r w:rsidR="005C46A6">
        <w:t>on the Trump victory.</w:t>
      </w:r>
    </w:p>
    <w:p w14:paraId="30922C11" w14:textId="29D6D56C" w:rsidR="005C46A6" w:rsidRDefault="005C46A6" w:rsidP="00D57A1E">
      <w:r>
        <w:t>A year from now we will have plenty of content for a lengthy new</w:t>
      </w:r>
      <w:r w:rsidR="004B6B0C">
        <w:t>s</w:t>
      </w:r>
      <w:r>
        <w:t>letter</w:t>
      </w:r>
      <w:r w:rsidR="004B6B0C">
        <w:t>.  There will be shocks</w:t>
      </w:r>
      <w:r w:rsidR="00122EFB">
        <w:t xml:space="preserve">, surprising outcomes, </w:t>
      </w:r>
      <w:r w:rsidR="004B6B0C">
        <w:t>and “I told you so’s.”</w:t>
      </w:r>
      <w:r w:rsidR="00122EFB">
        <w:t xml:space="preserve"> </w:t>
      </w:r>
      <w:r w:rsidR="004B6B0C">
        <w:t xml:space="preserve"> </w:t>
      </w:r>
      <w:r w:rsidR="00122EFB">
        <w:t xml:space="preserve">Some event or technology </w:t>
      </w:r>
      <w:r w:rsidR="001B4DCC">
        <w:t>may</w:t>
      </w:r>
      <w:r w:rsidR="00122EFB">
        <w:t xml:space="preserve"> come out of left field and catch most by surprise</w:t>
      </w:r>
      <w:r w:rsidR="003C5FF1">
        <w:t>. Count on it…but don’t try to avoid everything!</w:t>
      </w:r>
    </w:p>
    <w:p w14:paraId="683D2BB7" w14:textId="0CFD7D5D" w:rsidR="003C5FF1" w:rsidRDefault="00D22685" w:rsidP="00D57A1E">
      <w:r>
        <w:t xml:space="preserve">Rather than an election year, perhaps think of it as a Leap </w:t>
      </w:r>
      <w:r w:rsidR="001B4DCC">
        <w:t xml:space="preserve">year </w:t>
      </w:r>
      <w:r>
        <w:t>or Olympics year.</w:t>
      </w:r>
      <w:r w:rsidR="000050E2">
        <w:t xml:space="preserve"> A lot will happen in the next 366 </w:t>
      </w:r>
      <w:r w:rsidR="00186B49">
        <w:t>days,</w:t>
      </w:r>
      <w:r w:rsidR="000050E2">
        <w:t xml:space="preserve"> and we will be here working hard to </w:t>
      </w:r>
      <w:r w:rsidR="0090608E">
        <w:t>care for you all along the way.</w:t>
      </w:r>
    </w:p>
    <w:p w14:paraId="0D1DE8F0" w14:textId="77777777" w:rsidR="00276A78" w:rsidRDefault="00276A78" w:rsidP="00313255">
      <w:pPr>
        <w:rPr>
          <w:color w:val="FF0000"/>
          <w:lang w:eastAsia="en-US"/>
        </w:rPr>
      </w:pPr>
    </w:p>
    <w:p w14:paraId="0F5E3C69" w14:textId="77777777" w:rsidR="00186B49" w:rsidRDefault="00186B49" w:rsidP="00313255">
      <w:pPr>
        <w:rPr>
          <w:color w:val="FF0000"/>
          <w:lang w:eastAsia="en-US"/>
        </w:rPr>
      </w:pPr>
    </w:p>
    <w:p w14:paraId="7A4D8664" w14:textId="77777777" w:rsidR="00186B49" w:rsidRDefault="00186B49" w:rsidP="00313255">
      <w:pPr>
        <w:rPr>
          <w:color w:val="FF0000"/>
          <w:lang w:eastAsia="en-US"/>
        </w:rPr>
        <w:sectPr w:rsidR="00186B49" w:rsidSect="00276A78">
          <w:type w:val="continuous"/>
          <w:pgSz w:w="12240" w:h="15840"/>
          <w:pgMar w:top="1080" w:right="1080" w:bottom="1080" w:left="1080" w:header="720" w:footer="720" w:gutter="0"/>
          <w:cols w:num="2" w:space="432"/>
          <w:docGrid w:linePitch="360"/>
        </w:sectPr>
      </w:pPr>
    </w:p>
    <w:p w14:paraId="62F7B756" w14:textId="536839A2" w:rsidR="00DF7C2F" w:rsidRPr="00CD5257" w:rsidRDefault="00AB1267" w:rsidP="00313255">
      <w:pPr>
        <w:rPr>
          <w:color w:val="FF0000"/>
          <w:lang w:eastAsia="en-US"/>
        </w:rPr>
        <w:sectPr w:rsidR="00DF7C2F" w:rsidRPr="00CD5257" w:rsidSect="003D4002">
          <w:type w:val="continuous"/>
          <w:pgSz w:w="12240" w:h="15840"/>
          <w:pgMar w:top="1080" w:right="1080" w:bottom="1080" w:left="1080" w:header="720" w:footer="720" w:gutter="0"/>
          <w:cols w:space="432"/>
          <w:docGrid w:linePitch="360"/>
        </w:sectPr>
      </w:pPr>
      <w:r w:rsidRPr="00AB1267">
        <w:rPr>
          <w:noProof/>
          <w:color w:val="FF000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772BF" wp14:editId="17352231">
                <wp:simplePos x="0" y="0"/>
                <wp:positionH relativeFrom="column">
                  <wp:posOffset>2305050</wp:posOffset>
                </wp:positionH>
                <wp:positionV relativeFrom="paragraph">
                  <wp:posOffset>65405</wp:posOffset>
                </wp:positionV>
                <wp:extent cx="857250" cy="2105025"/>
                <wp:effectExtent l="0" t="0" r="0" b="9525"/>
                <wp:wrapSquare wrapText="bothSides"/>
                <wp:docPr id="1908055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0840" w14:textId="26C05EBC" w:rsidR="00AB1267" w:rsidRPr="007B5429" w:rsidRDefault="00E1193B" w:rsidP="00E119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B5429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 xml:space="preserve">Stay patient and avoid big bets in </w:t>
                            </w:r>
                            <w:proofErr w:type="gramStart"/>
                            <w:r w:rsidRPr="007B5429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77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5.15pt;width:67.5pt;height:1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" stroked="f">
                <v:textbox>
                  <w:txbxContent>
                    <w:p w14:paraId="61710840" w14:textId="26C05EBC" w:rsidR="00AB1267" w:rsidRPr="007B5429" w:rsidRDefault="00E1193B" w:rsidP="00E1193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 w:rsidRPr="007B5429"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 xml:space="preserve">Stay patient and avoid big bets in </w:t>
                      </w:r>
                      <w:proofErr w:type="gramStart"/>
                      <w:r w:rsidRPr="007B5429"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>2024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6A78">
        <w:rPr>
          <w:noProof/>
        </w:rPr>
        <w:drawing>
          <wp:inline distT="0" distB="0" distL="0" distR="0" wp14:anchorId="2217C4A4" wp14:editId="7E6540EF">
            <wp:extent cx="1952625" cy="1952625"/>
            <wp:effectExtent l="0" t="0" r="9525" b="9525"/>
            <wp:docPr id="4" name="Picture 3" descr="godfather gambling meme | Dubs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father gambling meme | Dubsi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78" w:rsidRPr="00E365C3">
        <w:rPr>
          <w:color w:val="FF0000"/>
          <w:lang w:eastAsia="en-US"/>
        </w:rPr>
        <w:t xml:space="preserve"> </w:t>
      </w:r>
      <w:r w:rsidR="00276A78">
        <w:rPr>
          <w:color w:val="FF0000"/>
          <w:lang w:eastAsia="en-US"/>
        </w:rPr>
        <w:t xml:space="preserve">    </w:t>
      </w:r>
      <w:r>
        <w:rPr>
          <w:color w:val="FF0000"/>
          <w:lang w:eastAsia="en-US"/>
        </w:rPr>
        <w:t xml:space="preserve">                              </w:t>
      </w:r>
      <w:r w:rsidR="00932436">
        <w:rPr>
          <w:color w:val="FF0000"/>
          <w:lang w:eastAsia="en-US"/>
        </w:rPr>
        <w:t xml:space="preserve">      </w:t>
      </w:r>
      <w:r w:rsidR="00E365C3" w:rsidRPr="00E365C3">
        <w:rPr>
          <w:noProof/>
          <w:color w:val="FF0000"/>
          <w:lang w:eastAsia="en-US"/>
        </w:rPr>
        <w:drawing>
          <wp:inline distT="0" distB="0" distL="0" distR="0" wp14:anchorId="4D7E7A34" wp14:editId="72736D1C">
            <wp:extent cx="2802255" cy="1968797"/>
            <wp:effectExtent l="0" t="0" r="0" b="0"/>
            <wp:docPr id="1307755360" name="Picture 1" descr="A cartoon of two people with a pick ax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55360" name="Picture 1" descr="A cartoon of two people with a pick ax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8365" cy="19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ECE6" w14:textId="4F09B1D1" w:rsidR="00313255" w:rsidRPr="00CD5257" w:rsidRDefault="00313255" w:rsidP="00313255">
      <w:pPr>
        <w:rPr>
          <w:color w:val="FF0000"/>
          <w:lang w:eastAsia="en-US"/>
        </w:rPr>
      </w:pPr>
    </w:p>
    <w:p w14:paraId="704A512D" w14:textId="4FBEF071" w:rsidR="00313255" w:rsidRPr="00CD5257" w:rsidRDefault="00313255" w:rsidP="00313255">
      <w:pPr>
        <w:rPr>
          <w:color w:val="FF0000"/>
          <w:lang w:eastAsia="en-US"/>
        </w:rPr>
        <w:sectPr w:rsidR="00313255" w:rsidRPr="00CD5257" w:rsidSect="00DF7C2F">
          <w:type w:val="continuous"/>
          <w:pgSz w:w="12240" w:h="15840"/>
          <w:pgMar w:top="1080" w:right="1080" w:bottom="1080" w:left="1080" w:header="720" w:footer="720" w:gutter="0"/>
          <w:cols w:num="2" w:space="432"/>
          <w:docGrid w:linePitch="360"/>
        </w:sectPr>
      </w:pPr>
    </w:p>
    <w:p w14:paraId="1266BD00" w14:textId="5B0172A2" w:rsidR="00AB0325" w:rsidRPr="00CD5257" w:rsidRDefault="00AB0325" w:rsidP="00AB0325">
      <w:pPr>
        <w:pStyle w:val="ListParagraph"/>
        <w:spacing w:line="259" w:lineRule="auto"/>
        <w:ind w:left="720" w:firstLine="0"/>
        <w:jc w:val="left"/>
        <w:rPr>
          <w:color w:val="FF0000"/>
          <w:sz w:val="28"/>
          <w:szCs w:val="32"/>
        </w:rPr>
      </w:pPr>
    </w:p>
    <w:bookmarkEnd w:id="1"/>
    <w:p w14:paraId="77F60955" w14:textId="710CB4E7" w:rsidR="005B636F" w:rsidRDefault="004800EB" w:rsidP="00FA3FC1">
      <w:pPr>
        <w:pStyle w:val="ListParagraph"/>
        <w:jc w:val="center"/>
        <w:rPr>
          <w:bCs/>
        </w:rPr>
      </w:pPr>
      <w:r w:rsidRPr="005B636F">
        <w:rPr>
          <w:rFonts w:ascii="Arial" w:hAnsi="Arial" w:cs="Arial"/>
          <w:noProof/>
          <w:color w:val="0070C0"/>
          <w:sz w:val="1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C793F" wp14:editId="4E94B69B">
                <wp:simplePos x="0" y="0"/>
                <wp:positionH relativeFrom="margin">
                  <wp:align>center</wp:align>
                </wp:positionH>
                <wp:positionV relativeFrom="paragraph">
                  <wp:posOffset>1652905</wp:posOffset>
                </wp:positionV>
                <wp:extent cx="6886575" cy="495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8F4EE" w14:textId="77777777" w:rsidR="004800EB" w:rsidRDefault="004800EB" w:rsidP="004800E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153D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Past performance is not a guarantee of future results. Securities offered through </w:t>
                            </w:r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Triad Advisors, LLC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Triad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 member FINRA/SIPC. Investment Advisory services offered through </w:t>
                            </w:r>
                            <w:proofErr w:type="spellStart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Osaic</w:t>
                            </w:r>
                            <w:proofErr w:type="spellEnd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Advisory Services, LLC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Osaic</w:t>
                            </w:r>
                            <w:proofErr w:type="spellEnd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Advisory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). </w:t>
                            </w:r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Triad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Osaic</w:t>
                            </w:r>
                            <w:proofErr w:type="spellEnd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Advisory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are separately owned and other entities and/or marketing names, products or services referenced here are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independent of </w:t>
                            </w:r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Triad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>Osaic</w:t>
                            </w:r>
                            <w:proofErr w:type="spellEnd"/>
                            <w:r>
                              <w:rPr>
                                <w:rStyle w:val="Strong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Advisory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790EF9" w14:textId="77777777" w:rsidR="004800EB" w:rsidRDefault="004800EB" w:rsidP="004800EB"/>
                          <w:p w14:paraId="62673858" w14:textId="59AB423D" w:rsidR="008667E2" w:rsidRPr="00E06F43" w:rsidRDefault="008667E2" w:rsidP="008667E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793F" id="_x0000_s1027" type="#_x0000_t202" style="position:absolute;left:0;text-align:left;margin-left:0;margin-top:130.15pt;width:542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" stroked="f">
                <v:textbox>
                  <w:txbxContent>
                    <w:p w14:paraId="1A18F4EE" w14:textId="77777777" w:rsidR="004800EB" w:rsidRDefault="004800EB" w:rsidP="004800EB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153D63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Past performance is not a guarantee of future results. Securities offered through </w:t>
                      </w:r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Triad Advisors, LLC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Triad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 member FINRA/SIPC. Investment Advisory services offered through </w:t>
                      </w:r>
                      <w:proofErr w:type="spellStart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Osaic</w:t>
                      </w:r>
                      <w:proofErr w:type="spellEnd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 xml:space="preserve"> Advisory Services, LLC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Osaic</w:t>
                      </w:r>
                      <w:proofErr w:type="spellEnd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 xml:space="preserve"> Advisory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). </w:t>
                      </w:r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Triad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Osaic</w:t>
                      </w:r>
                      <w:proofErr w:type="spellEnd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 xml:space="preserve"> Advisory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are separately owned and other entities and/or marketing names, products or services referenced here are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  <w:t xml:space="preserve">independent of </w:t>
                      </w:r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 xml:space="preserve">Triad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and </w:t>
                      </w:r>
                      <w:proofErr w:type="spellStart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>Osaic</w:t>
                      </w:r>
                      <w:proofErr w:type="spellEnd"/>
                      <w:r>
                        <w:rPr>
                          <w:rStyle w:val="Strong"/>
                          <w:i/>
                          <w:iCs/>
                          <w:sz w:val="16"/>
                          <w:szCs w:val="16"/>
                        </w:rPr>
                        <w:t xml:space="preserve"> Advisory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4A790EF9" w14:textId="77777777" w:rsidR="004800EB" w:rsidRDefault="004800EB" w:rsidP="004800EB"/>
                    <w:p w14:paraId="62673858" w14:textId="59AB423D" w:rsidR="008667E2" w:rsidRPr="00E06F43" w:rsidRDefault="008667E2" w:rsidP="008667E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08E" w:rsidRPr="00CD5257">
        <w:rPr>
          <w:b/>
          <w:bCs/>
          <w:noProof/>
          <w:color w:val="FF000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B6121D" wp14:editId="48EE9B3F">
                <wp:simplePos x="0" y="0"/>
                <wp:positionH relativeFrom="margin">
                  <wp:posOffset>0</wp:posOffset>
                </wp:positionH>
                <wp:positionV relativeFrom="margin">
                  <wp:posOffset>5875020</wp:posOffset>
                </wp:positionV>
                <wp:extent cx="6530340" cy="1514475"/>
                <wp:effectExtent l="19050" t="19050" r="22860" b="2857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514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44450" cap="flat" cmpd="dbl" algn="ctr">
                          <a:solidFill>
                            <a:srgbClr val="46464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99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1"/>
                              <w:gridCol w:w="7884"/>
                              <w:gridCol w:w="1054"/>
                            </w:tblGrid>
                            <w:tr w:rsidR="00816B1C" w:rsidRPr="00832E25" w14:paraId="2DD0D00F" w14:textId="77777777" w:rsidTr="00F404AC">
                              <w:tc>
                                <w:tcPr>
                                  <w:tcW w:w="4993" w:type="pct"/>
                                  <w:gridSpan w:val="3"/>
                                  <w:vAlign w:val="center"/>
                                </w:tcPr>
                                <w:p w14:paraId="50E5B3C6" w14:textId="77777777" w:rsidR="00816B1C" w:rsidRDefault="00816B1C" w:rsidP="00AC7C88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  <w:t>Head Investment Partners</w:t>
                                  </w:r>
                                </w:p>
                                <w:p w14:paraId="172E8594" w14:textId="77777777" w:rsidR="00816B1C" w:rsidRDefault="00816B1C" w:rsidP="00AC7C88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  <w:t xml:space="preserve">2280 Valley Vista Road </w:t>
                                  </w:r>
                                </w:p>
                                <w:p w14:paraId="6EC73FA7" w14:textId="77777777" w:rsidR="00816B1C" w:rsidRPr="00832E25" w:rsidRDefault="00816B1C" w:rsidP="00AC7C88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  <w:t xml:space="preserve"> Knoxville, TN 37932</w:t>
                                  </w:r>
                                </w:p>
                                <w:p w14:paraId="6CE1CF0B" w14:textId="77777777" w:rsidR="00816B1C" w:rsidRPr="00832E25" w:rsidRDefault="00816B1C" w:rsidP="00AC7C88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 w:rsidRPr="00832E25">
                                    <w:rPr>
                                      <w:color w:val="FFFFFF" w:themeColor="background1"/>
                                      <w:sz w:val="4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24"/>
                                    </w:rPr>
                                    <w:t>865-999-5332 |</w:t>
                                  </w:r>
                                  <w:r w:rsidRPr="00832E25">
                                    <w:rPr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  <w:t>www.headinvestmentpartners.com</w:t>
                                  </w:r>
                                </w:p>
                              </w:tc>
                            </w:tr>
                            <w:tr w:rsidR="00816B1C" w:rsidRPr="00832E25" w14:paraId="7DAB2620" w14:textId="77777777" w:rsidTr="00F404AC">
                              <w:tc>
                                <w:tcPr>
                                  <w:tcW w:w="4993" w:type="pct"/>
                                  <w:gridSpan w:val="3"/>
                                  <w:vAlign w:val="center"/>
                                </w:tcPr>
                                <w:p w14:paraId="3ECA9B0D" w14:textId="77777777" w:rsidR="00816B1C" w:rsidRPr="00832E25" w:rsidRDefault="00816B1C" w:rsidP="00F404AC">
                                  <w:pPr>
                                    <w:ind w:right="440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816B1C" w:rsidRPr="00832E25" w14:paraId="5FF9C854" w14:textId="77777777" w:rsidTr="00F404AC">
                              <w:trPr>
                                <w:trHeight w:val="3456"/>
                              </w:trPr>
                              <w:tc>
                                <w:tcPr>
                                  <w:tcW w:w="504" w:type="pct"/>
                                </w:tcPr>
                                <w:p w14:paraId="29E282C0" w14:textId="77777777" w:rsidR="00816B1C" w:rsidRPr="00832E25" w:rsidRDefault="00816B1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6" w:type="pct"/>
                                </w:tcPr>
                                <w:p w14:paraId="71BED398" w14:textId="77777777" w:rsidR="00816B1C" w:rsidRPr="00832E25" w:rsidRDefault="00816B1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</w:tcPr>
                                <w:p w14:paraId="40C851E0" w14:textId="77777777" w:rsidR="00816B1C" w:rsidRPr="00832E25" w:rsidRDefault="00816B1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16B1C" w:rsidRPr="00832E25" w14:paraId="37593A3D" w14:textId="77777777" w:rsidTr="00F404AC">
                              <w:trPr>
                                <w:trHeight w:val="720"/>
                              </w:trPr>
                              <w:tc>
                                <w:tcPr>
                                  <w:tcW w:w="4993" w:type="pct"/>
                                  <w:gridSpan w:val="3"/>
                                </w:tcPr>
                                <w:p w14:paraId="0C872313" w14:textId="77777777" w:rsidR="00816B1C" w:rsidRPr="00832E25" w:rsidRDefault="00816B1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16B1C" w:rsidRPr="00832E25" w14:paraId="2A241BD5" w14:textId="77777777" w:rsidTr="00F404AC">
                              <w:tc>
                                <w:tcPr>
                                  <w:tcW w:w="497" w:type="pct"/>
                                </w:tcPr>
                                <w:p w14:paraId="751C01AF" w14:textId="77777777" w:rsidR="00816B1C" w:rsidRPr="00832E25" w:rsidRDefault="00816B1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6" w:type="pct"/>
                                  <w:gridSpan w:val="2"/>
                                  <w:vAlign w:val="center"/>
                                </w:tcPr>
                                <w:p w14:paraId="4E799A5F" w14:textId="77777777" w:rsidR="00816B1C" w:rsidRPr="00832E25" w:rsidRDefault="00816B1C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C94BE" w14:textId="77777777" w:rsidR="00816B1C" w:rsidRPr="00832E25" w:rsidRDefault="00816B1C" w:rsidP="00816B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121D" id="Rectangle 7" o:spid="_x0000_s1028" style="position:absolute;left:0;text-align:left;margin-left:0;margin-top:462.6pt;width:514.2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" fillcolor="#002060" strokecolor="#46464a" strokeweight="3.5pt">
                <v:stroke linestyle="thinThin"/>
                <v:textbox>
                  <w:txbxContent>
                    <w:tbl>
                      <w:tblPr>
                        <w:tblW w:w="4999" w:type="pct"/>
                        <w:tblLook w:val="04A0" w:firstRow="1" w:lastRow="0" w:firstColumn="1" w:lastColumn="0" w:noHBand="0" w:noVBand="1"/>
                      </w:tblPr>
                      <w:tblGrid>
                        <w:gridCol w:w="1001"/>
                        <w:gridCol w:w="7884"/>
                        <w:gridCol w:w="1054"/>
                      </w:tblGrid>
                      <w:tr w:rsidR="00816B1C" w:rsidRPr="00832E25" w14:paraId="2DD0D00F" w14:textId="77777777" w:rsidTr="00F404AC">
                        <w:tc>
                          <w:tcPr>
                            <w:tcW w:w="4993" w:type="pct"/>
                            <w:gridSpan w:val="3"/>
                            <w:vAlign w:val="center"/>
                          </w:tcPr>
                          <w:p w14:paraId="50E5B3C6" w14:textId="77777777" w:rsidR="00816B1C" w:rsidRDefault="00816B1C" w:rsidP="00AC7C8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  <w:t>Head Investment Partners</w:t>
                            </w:r>
                          </w:p>
                          <w:p w14:paraId="172E8594" w14:textId="77777777" w:rsidR="00816B1C" w:rsidRDefault="00816B1C" w:rsidP="00AC7C8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2280 Valley Vista Road </w:t>
                            </w:r>
                          </w:p>
                          <w:p w14:paraId="6EC73FA7" w14:textId="77777777" w:rsidR="00816B1C" w:rsidRPr="00832E25" w:rsidRDefault="00816B1C" w:rsidP="00AC7C8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Knoxville, TN 37932</w:t>
                            </w:r>
                          </w:p>
                          <w:p w14:paraId="6CE1CF0B" w14:textId="77777777" w:rsidR="00816B1C" w:rsidRPr="00832E25" w:rsidRDefault="00816B1C" w:rsidP="00AC7C8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832E25">
                              <w:rPr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24"/>
                              </w:rPr>
                              <w:t>865-999-5332 |</w:t>
                            </w:r>
                            <w:r w:rsidRPr="00832E25"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  <w:t>www.headinvestmentpartners.com</w:t>
                            </w:r>
                          </w:p>
                        </w:tc>
                      </w:tr>
                      <w:tr w:rsidR="00816B1C" w:rsidRPr="00832E25" w14:paraId="7DAB2620" w14:textId="77777777" w:rsidTr="00F404AC">
                        <w:tc>
                          <w:tcPr>
                            <w:tcW w:w="4993" w:type="pct"/>
                            <w:gridSpan w:val="3"/>
                            <w:vAlign w:val="center"/>
                          </w:tcPr>
                          <w:p w14:paraId="3ECA9B0D" w14:textId="77777777" w:rsidR="00816B1C" w:rsidRPr="00832E25" w:rsidRDefault="00816B1C" w:rsidP="00F404AC">
                            <w:pPr>
                              <w:ind w:right="440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c>
                      </w:tr>
                      <w:tr w:rsidR="00816B1C" w:rsidRPr="00832E25" w14:paraId="5FF9C854" w14:textId="77777777" w:rsidTr="00F404AC">
                        <w:trPr>
                          <w:trHeight w:val="3456"/>
                        </w:trPr>
                        <w:tc>
                          <w:tcPr>
                            <w:tcW w:w="504" w:type="pct"/>
                          </w:tcPr>
                          <w:p w14:paraId="29E282C0" w14:textId="77777777" w:rsidR="00816B1C" w:rsidRPr="00832E25" w:rsidRDefault="00816B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966" w:type="pct"/>
                          </w:tcPr>
                          <w:p w14:paraId="71BED398" w14:textId="77777777" w:rsidR="00816B1C" w:rsidRPr="00832E25" w:rsidRDefault="00816B1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0" w:type="pct"/>
                          </w:tcPr>
                          <w:p w14:paraId="40C851E0" w14:textId="77777777" w:rsidR="00816B1C" w:rsidRPr="00832E25" w:rsidRDefault="00816B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16B1C" w:rsidRPr="00832E25" w14:paraId="37593A3D" w14:textId="77777777" w:rsidTr="00F404AC">
                        <w:trPr>
                          <w:trHeight w:val="720"/>
                        </w:trPr>
                        <w:tc>
                          <w:tcPr>
                            <w:tcW w:w="4993" w:type="pct"/>
                            <w:gridSpan w:val="3"/>
                          </w:tcPr>
                          <w:p w14:paraId="0C872313" w14:textId="77777777" w:rsidR="00816B1C" w:rsidRPr="00832E25" w:rsidRDefault="00816B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16B1C" w:rsidRPr="00832E25" w14:paraId="2A241BD5" w14:textId="77777777" w:rsidTr="00F404AC">
                        <w:tc>
                          <w:tcPr>
                            <w:tcW w:w="497" w:type="pct"/>
                          </w:tcPr>
                          <w:p w14:paraId="751C01AF" w14:textId="77777777" w:rsidR="00816B1C" w:rsidRPr="00832E25" w:rsidRDefault="00816B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496" w:type="pct"/>
                            <w:gridSpan w:val="2"/>
                            <w:vAlign w:val="center"/>
                          </w:tcPr>
                          <w:p w14:paraId="4E799A5F" w14:textId="77777777" w:rsidR="00816B1C" w:rsidRPr="00832E25" w:rsidRDefault="00816B1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464C94BE" w14:textId="77777777" w:rsidR="00816B1C" w:rsidRPr="00832E25" w:rsidRDefault="00816B1C" w:rsidP="00816B1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11CE2">
        <w:rPr>
          <w:bCs/>
        </w:rPr>
        <w:t xml:space="preserve"> </w:t>
      </w:r>
      <w:r w:rsidR="001E6EF8">
        <w:rPr>
          <w:rFonts w:eastAsia="Times New Roman"/>
          <w:noProof/>
        </w:rPr>
        <w:t xml:space="preserve">     </w:t>
      </w:r>
    </w:p>
    <w:sectPr w:rsidR="005B636F" w:rsidSect="002A751C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83D6E" w14:textId="77777777" w:rsidR="00666E12" w:rsidRDefault="00666E12" w:rsidP="002E2921">
      <w:pPr>
        <w:spacing w:after="0" w:line="240" w:lineRule="auto"/>
      </w:pPr>
      <w:r>
        <w:separator/>
      </w:r>
    </w:p>
  </w:endnote>
  <w:endnote w:type="continuationSeparator" w:id="0">
    <w:p w14:paraId="0A5FECA8" w14:textId="77777777" w:rsidR="00666E12" w:rsidRDefault="00666E12" w:rsidP="002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ABF3B" w14:textId="77777777" w:rsidR="00666E12" w:rsidRDefault="00666E12" w:rsidP="002E2921">
      <w:pPr>
        <w:spacing w:after="0" w:line="240" w:lineRule="auto"/>
      </w:pPr>
      <w:r>
        <w:separator/>
      </w:r>
    </w:p>
  </w:footnote>
  <w:footnote w:type="continuationSeparator" w:id="0">
    <w:p w14:paraId="03214863" w14:textId="77777777" w:rsidR="00666E12" w:rsidRDefault="00666E12" w:rsidP="002E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54"/>
      </v:shape>
    </w:pict>
  </w:numPicBullet>
  <w:abstractNum w:abstractNumId="0" w15:restartNumberingAfterBreak="0">
    <w:nsid w:val="08A13F16"/>
    <w:multiLevelType w:val="hybridMultilevel"/>
    <w:tmpl w:val="C70EF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3E1"/>
    <w:multiLevelType w:val="hybridMultilevel"/>
    <w:tmpl w:val="731A2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25A"/>
    <w:multiLevelType w:val="hybridMultilevel"/>
    <w:tmpl w:val="5FFCD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49FD"/>
    <w:multiLevelType w:val="hybridMultilevel"/>
    <w:tmpl w:val="6A2EC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2D71"/>
    <w:multiLevelType w:val="hybridMultilevel"/>
    <w:tmpl w:val="23526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B4F"/>
    <w:multiLevelType w:val="hybridMultilevel"/>
    <w:tmpl w:val="D9AC4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F3A"/>
    <w:multiLevelType w:val="hybridMultilevel"/>
    <w:tmpl w:val="5D0E4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6BA6"/>
    <w:multiLevelType w:val="hybridMultilevel"/>
    <w:tmpl w:val="1E201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F09"/>
    <w:multiLevelType w:val="hybridMultilevel"/>
    <w:tmpl w:val="6B02A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B1C7C"/>
    <w:multiLevelType w:val="hybridMultilevel"/>
    <w:tmpl w:val="CF429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E0265"/>
    <w:multiLevelType w:val="hybridMultilevel"/>
    <w:tmpl w:val="00E6C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7729"/>
    <w:multiLevelType w:val="hybridMultilevel"/>
    <w:tmpl w:val="8A044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4A3A"/>
    <w:multiLevelType w:val="hybridMultilevel"/>
    <w:tmpl w:val="AEE4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FA5"/>
    <w:multiLevelType w:val="hybridMultilevel"/>
    <w:tmpl w:val="78DE4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26548"/>
    <w:multiLevelType w:val="hybridMultilevel"/>
    <w:tmpl w:val="95EAA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7F14"/>
    <w:multiLevelType w:val="hybridMultilevel"/>
    <w:tmpl w:val="DC205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1090E"/>
    <w:multiLevelType w:val="hybridMultilevel"/>
    <w:tmpl w:val="2DA0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4678B"/>
    <w:multiLevelType w:val="hybridMultilevel"/>
    <w:tmpl w:val="163ECB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F6A03"/>
    <w:multiLevelType w:val="hybridMultilevel"/>
    <w:tmpl w:val="9404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80474">
    <w:abstractNumId w:val="2"/>
  </w:num>
  <w:num w:numId="2" w16cid:durableId="739519899">
    <w:abstractNumId w:val="10"/>
  </w:num>
  <w:num w:numId="3" w16cid:durableId="70321486">
    <w:abstractNumId w:val="5"/>
  </w:num>
  <w:num w:numId="4" w16cid:durableId="1977755022">
    <w:abstractNumId w:val="14"/>
  </w:num>
  <w:num w:numId="5" w16cid:durableId="988707069">
    <w:abstractNumId w:val="8"/>
  </w:num>
  <w:num w:numId="6" w16cid:durableId="2022077543">
    <w:abstractNumId w:val="9"/>
  </w:num>
  <w:num w:numId="7" w16cid:durableId="1793935197">
    <w:abstractNumId w:val="17"/>
  </w:num>
  <w:num w:numId="8" w16cid:durableId="419645464">
    <w:abstractNumId w:val="1"/>
  </w:num>
  <w:num w:numId="9" w16cid:durableId="535854357">
    <w:abstractNumId w:val="16"/>
  </w:num>
  <w:num w:numId="10" w16cid:durableId="877856297">
    <w:abstractNumId w:val="18"/>
  </w:num>
  <w:num w:numId="11" w16cid:durableId="647513318">
    <w:abstractNumId w:val="13"/>
  </w:num>
  <w:num w:numId="12" w16cid:durableId="1780488715">
    <w:abstractNumId w:val="12"/>
  </w:num>
  <w:num w:numId="13" w16cid:durableId="1917979588">
    <w:abstractNumId w:val="4"/>
  </w:num>
  <w:num w:numId="14" w16cid:durableId="942229093">
    <w:abstractNumId w:val="6"/>
  </w:num>
  <w:num w:numId="15" w16cid:durableId="1479960756">
    <w:abstractNumId w:val="0"/>
  </w:num>
  <w:num w:numId="16" w16cid:durableId="913319846">
    <w:abstractNumId w:val="7"/>
  </w:num>
  <w:num w:numId="17" w16cid:durableId="264387703">
    <w:abstractNumId w:val="15"/>
  </w:num>
  <w:num w:numId="18" w16cid:durableId="1872717809">
    <w:abstractNumId w:val="11"/>
  </w:num>
  <w:num w:numId="19" w16cid:durableId="5982244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92"/>
    <w:rsid w:val="000008DB"/>
    <w:rsid w:val="00000F13"/>
    <w:rsid w:val="00001B46"/>
    <w:rsid w:val="00002461"/>
    <w:rsid w:val="0000265A"/>
    <w:rsid w:val="00002DCC"/>
    <w:rsid w:val="00003E55"/>
    <w:rsid w:val="000048C6"/>
    <w:rsid w:val="000050E2"/>
    <w:rsid w:val="00005858"/>
    <w:rsid w:val="00005E87"/>
    <w:rsid w:val="00007265"/>
    <w:rsid w:val="00007D8A"/>
    <w:rsid w:val="00010163"/>
    <w:rsid w:val="00010643"/>
    <w:rsid w:val="00010C09"/>
    <w:rsid w:val="00012812"/>
    <w:rsid w:val="0001293C"/>
    <w:rsid w:val="00012D8A"/>
    <w:rsid w:val="00013072"/>
    <w:rsid w:val="00013F6E"/>
    <w:rsid w:val="000141C0"/>
    <w:rsid w:val="00014603"/>
    <w:rsid w:val="00014885"/>
    <w:rsid w:val="00014A02"/>
    <w:rsid w:val="00014C3D"/>
    <w:rsid w:val="000158F6"/>
    <w:rsid w:val="00015EB2"/>
    <w:rsid w:val="00017165"/>
    <w:rsid w:val="00017503"/>
    <w:rsid w:val="00020722"/>
    <w:rsid w:val="00020E64"/>
    <w:rsid w:val="0002246A"/>
    <w:rsid w:val="000231A5"/>
    <w:rsid w:val="00023B75"/>
    <w:rsid w:val="000242AA"/>
    <w:rsid w:val="00025A08"/>
    <w:rsid w:val="00025E83"/>
    <w:rsid w:val="00026A5C"/>
    <w:rsid w:val="00026D8B"/>
    <w:rsid w:val="0002720F"/>
    <w:rsid w:val="00027619"/>
    <w:rsid w:val="00027667"/>
    <w:rsid w:val="00027E39"/>
    <w:rsid w:val="00030783"/>
    <w:rsid w:val="00030925"/>
    <w:rsid w:val="00030B23"/>
    <w:rsid w:val="00030F23"/>
    <w:rsid w:val="00031D06"/>
    <w:rsid w:val="00032B86"/>
    <w:rsid w:val="00032FC7"/>
    <w:rsid w:val="00033A3B"/>
    <w:rsid w:val="00034339"/>
    <w:rsid w:val="000357F3"/>
    <w:rsid w:val="000360D6"/>
    <w:rsid w:val="00036271"/>
    <w:rsid w:val="00040081"/>
    <w:rsid w:val="000402FC"/>
    <w:rsid w:val="0004356F"/>
    <w:rsid w:val="00043886"/>
    <w:rsid w:val="00043E1D"/>
    <w:rsid w:val="0004407C"/>
    <w:rsid w:val="000440C1"/>
    <w:rsid w:val="000442E2"/>
    <w:rsid w:val="00044AA2"/>
    <w:rsid w:val="00044B04"/>
    <w:rsid w:val="000450B6"/>
    <w:rsid w:val="000450E5"/>
    <w:rsid w:val="00045A65"/>
    <w:rsid w:val="00045DB8"/>
    <w:rsid w:val="00046311"/>
    <w:rsid w:val="000463D9"/>
    <w:rsid w:val="0004751F"/>
    <w:rsid w:val="000501EB"/>
    <w:rsid w:val="0005124B"/>
    <w:rsid w:val="00051A30"/>
    <w:rsid w:val="00051B15"/>
    <w:rsid w:val="00052B1D"/>
    <w:rsid w:val="0005393E"/>
    <w:rsid w:val="00053AEA"/>
    <w:rsid w:val="00053FDA"/>
    <w:rsid w:val="00054CC6"/>
    <w:rsid w:val="0005724C"/>
    <w:rsid w:val="000573F4"/>
    <w:rsid w:val="0005783C"/>
    <w:rsid w:val="00057F00"/>
    <w:rsid w:val="00060166"/>
    <w:rsid w:val="00061B9B"/>
    <w:rsid w:val="00063FA5"/>
    <w:rsid w:val="000647D8"/>
    <w:rsid w:val="00065C39"/>
    <w:rsid w:val="00065DA3"/>
    <w:rsid w:val="00066151"/>
    <w:rsid w:val="00067482"/>
    <w:rsid w:val="0007071A"/>
    <w:rsid w:val="000712B9"/>
    <w:rsid w:val="000720A0"/>
    <w:rsid w:val="00072557"/>
    <w:rsid w:val="000726F1"/>
    <w:rsid w:val="00072724"/>
    <w:rsid w:val="00072A0C"/>
    <w:rsid w:val="00073A21"/>
    <w:rsid w:val="00073BF8"/>
    <w:rsid w:val="00074479"/>
    <w:rsid w:val="00074651"/>
    <w:rsid w:val="00076A62"/>
    <w:rsid w:val="00076E26"/>
    <w:rsid w:val="00080433"/>
    <w:rsid w:val="000822F4"/>
    <w:rsid w:val="000824B6"/>
    <w:rsid w:val="000850BC"/>
    <w:rsid w:val="00085339"/>
    <w:rsid w:val="000864EA"/>
    <w:rsid w:val="00087FE8"/>
    <w:rsid w:val="0009082E"/>
    <w:rsid w:val="0009110F"/>
    <w:rsid w:val="00091179"/>
    <w:rsid w:val="000917F3"/>
    <w:rsid w:val="00092A75"/>
    <w:rsid w:val="0009409A"/>
    <w:rsid w:val="00094CD3"/>
    <w:rsid w:val="0009598D"/>
    <w:rsid w:val="00096326"/>
    <w:rsid w:val="000969EA"/>
    <w:rsid w:val="00096A98"/>
    <w:rsid w:val="000975FA"/>
    <w:rsid w:val="00097D7F"/>
    <w:rsid w:val="000A10A7"/>
    <w:rsid w:val="000A2180"/>
    <w:rsid w:val="000A295C"/>
    <w:rsid w:val="000A2C11"/>
    <w:rsid w:val="000A3805"/>
    <w:rsid w:val="000A3829"/>
    <w:rsid w:val="000A3F0C"/>
    <w:rsid w:val="000A443A"/>
    <w:rsid w:val="000A4BC1"/>
    <w:rsid w:val="000A56DD"/>
    <w:rsid w:val="000A5C1C"/>
    <w:rsid w:val="000A5C71"/>
    <w:rsid w:val="000A5D16"/>
    <w:rsid w:val="000A5F62"/>
    <w:rsid w:val="000A68B9"/>
    <w:rsid w:val="000A7A88"/>
    <w:rsid w:val="000B11AA"/>
    <w:rsid w:val="000B12FF"/>
    <w:rsid w:val="000B176E"/>
    <w:rsid w:val="000B26B9"/>
    <w:rsid w:val="000B2870"/>
    <w:rsid w:val="000B38C4"/>
    <w:rsid w:val="000B67A4"/>
    <w:rsid w:val="000B73B8"/>
    <w:rsid w:val="000B789F"/>
    <w:rsid w:val="000C13A4"/>
    <w:rsid w:val="000C3EEB"/>
    <w:rsid w:val="000C4629"/>
    <w:rsid w:val="000C48FE"/>
    <w:rsid w:val="000C5666"/>
    <w:rsid w:val="000C5DCD"/>
    <w:rsid w:val="000C5F5C"/>
    <w:rsid w:val="000C6B2F"/>
    <w:rsid w:val="000C6CC1"/>
    <w:rsid w:val="000C7DAC"/>
    <w:rsid w:val="000D03C3"/>
    <w:rsid w:val="000D1614"/>
    <w:rsid w:val="000D26B1"/>
    <w:rsid w:val="000D31A4"/>
    <w:rsid w:val="000D31C8"/>
    <w:rsid w:val="000D3FBE"/>
    <w:rsid w:val="000D453C"/>
    <w:rsid w:val="000D45C5"/>
    <w:rsid w:val="000D4B11"/>
    <w:rsid w:val="000D52EC"/>
    <w:rsid w:val="000D54BE"/>
    <w:rsid w:val="000D5DAE"/>
    <w:rsid w:val="000D5F2F"/>
    <w:rsid w:val="000D645A"/>
    <w:rsid w:val="000D7272"/>
    <w:rsid w:val="000D775C"/>
    <w:rsid w:val="000D790B"/>
    <w:rsid w:val="000E0B59"/>
    <w:rsid w:val="000E0B63"/>
    <w:rsid w:val="000E1185"/>
    <w:rsid w:val="000E1591"/>
    <w:rsid w:val="000E2196"/>
    <w:rsid w:val="000E2C05"/>
    <w:rsid w:val="000E342E"/>
    <w:rsid w:val="000E4519"/>
    <w:rsid w:val="000E48E6"/>
    <w:rsid w:val="000E5CCE"/>
    <w:rsid w:val="000E6A37"/>
    <w:rsid w:val="000E7479"/>
    <w:rsid w:val="000F1D8B"/>
    <w:rsid w:val="000F2762"/>
    <w:rsid w:val="000F296E"/>
    <w:rsid w:val="000F32C3"/>
    <w:rsid w:val="000F33A1"/>
    <w:rsid w:val="000F47E2"/>
    <w:rsid w:val="000F48BB"/>
    <w:rsid w:val="000F54B2"/>
    <w:rsid w:val="000F5825"/>
    <w:rsid w:val="000F64AF"/>
    <w:rsid w:val="000F6680"/>
    <w:rsid w:val="000F675B"/>
    <w:rsid w:val="000F72F6"/>
    <w:rsid w:val="000F7975"/>
    <w:rsid w:val="00100640"/>
    <w:rsid w:val="0010133B"/>
    <w:rsid w:val="001025C5"/>
    <w:rsid w:val="00103E68"/>
    <w:rsid w:val="001056D7"/>
    <w:rsid w:val="001064D2"/>
    <w:rsid w:val="00106F67"/>
    <w:rsid w:val="0010771C"/>
    <w:rsid w:val="001106F6"/>
    <w:rsid w:val="00110BA3"/>
    <w:rsid w:val="00111E5D"/>
    <w:rsid w:val="0011302E"/>
    <w:rsid w:val="00113073"/>
    <w:rsid w:val="001133CD"/>
    <w:rsid w:val="00113497"/>
    <w:rsid w:val="001140CD"/>
    <w:rsid w:val="00114348"/>
    <w:rsid w:val="0011481E"/>
    <w:rsid w:val="001154AC"/>
    <w:rsid w:val="00115AE8"/>
    <w:rsid w:val="00115D29"/>
    <w:rsid w:val="00116090"/>
    <w:rsid w:val="0011745E"/>
    <w:rsid w:val="00117EA1"/>
    <w:rsid w:val="00120689"/>
    <w:rsid w:val="001215DC"/>
    <w:rsid w:val="0012186B"/>
    <w:rsid w:val="00122437"/>
    <w:rsid w:val="0012287B"/>
    <w:rsid w:val="00122EFB"/>
    <w:rsid w:val="001237B3"/>
    <w:rsid w:val="001256CE"/>
    <w:rsid w:val="00125D9F"/>
    <w:rsid w:val="00125E3A"/>
    <w:rsid w:val="00126358"/>
    <w:rsid w:val="0012768B"/>
    <w:rsid w:val="00132241"/>
    <w:rsid w:val="001323C0"/>
    <w:rsid w:val="0013311E"/>
    <w:rsid w:val="00133862"/>
    <w:rsid w:val="00133BC9"/>
    <w:rsid w:val="001344E7"/>
    <w:rsid w:val="00134951"/>
    <w:rsid w:val="00134B73"/>
    <w:rsid w:val="001353FA"/>
    <w:rsid w:val="0013618F"/>
    <w:rsid w:val="00136EC0"/>
    <w:rsid w:val="00137704"/>
    <w:rsid w:val="00137AA3"/>
    <w:rsid w:val="00137CCC"/>
    <w:rsid w:val="00140155"/>
    <w:rsid w:val="001408D8"/>
    <w:rsid w:val="0014246D"/>
    <w:rsid w:val="00142A4F"/>
    <w:rsid w:val="00142A94"/>
    <w:rsid w:val="001448EA"/>
    <w:rsid w:val="00144B2F"/>
    <w:rsid w:val="00146154"/>
    <w:rsid w:val="00146F3E"/>
    <w:rsid w:val="001479D8"/>
    <w:rsid w:val="001512C7"/>
    <w:rsid w:val="001517D3"/>
    <w:rsid w:val="00152E2A"/>
    <w:rsid w:val="00153584"/>
    <w:rsid w:val="0015405C"/>
    <w:rsid w:val="00154596"/>
    <w:rsid w:val="00155303"/>
    <w:rsid w:val="00155ABA"/>
    <w:rsid w:val="00155BB8"/>
    <w:rsid w:val="00155F07"/>
    <w:rsid w:val="001568EB"/>
    <w:rsid w:val="00156E76"/>
    <w:rsid w:val="00157986"/>
    <w:rsid w:val="00157EAF"/>
    <w:rsid w:val="00162799"/>
    <w:rsid w:val="00163181"/>
    <w:rsid w:val="0016391C"/>
    <w:rsid w:val="00165044"/>
    <w:rsid w:val="00166805"/>
    <w:rsid w:val="00166CAF"/>
    <w:rsid w:val="0016792F"/>
    <w:rsid w:val="00167C3B"/>
    <w:rsid w:val="00170E49"/>
    <w:rsid w:val="001711F5"/>
    <w:rsid w:val="0017299B"/>
    <w:rsid w:val="001729B5"/>
    <w:rsid w:val="00172EDC"/>
    <w:rsid w:val="0017352D"/>
    <w:rsid w:val="00174DE5"/>
    <w:rsid w:val="00175D20"/>
    <w:rsid w:val="00175F00"/>
    <w:rsid w:val="00180761"/>
    <w:rsid w:val="0018080F"/>
    <w:rsid w:val="0018118E"/>
    <w:rsid w:val="001812B5"/>
    <w:rsid w:val="001827F5"/>
    <w:rsid w:val="00182F0A"/>
    <w:rsid w:val="00183832"/>
    <w:rsid w:val="00183B9A"/>
    <w:rsid w:val="0018483C"/>
    <w:rsid w:val="001853A0"/>
    <w:rsid w:val="001858EA"/>
    <w:rsid w:val="00185D04"/>
    <w:rsid w:val="00186106"/>
    <w:rsid w:val="00186364"/>
    <w:rsid w:val="00186B49"/>
    <w:rsid w:val="001901E5"/>
    <w:rsid w:val="00190249"/>
    <w:rsid w:val="001907B4"/>
    <w:rsid w:val="00191C58"/>
    <w:rsid w:val="00191E5A"/>
    <w:rsid w:val="001924B5"/>
    <w:rsid w:val="00194D55"/>
    <w:rsid w:val="00194F86"/>
    <w:rsid w:val="0019590F"/>
    <w:rsid w:val="00195E3F"/>
    <w:rsid w:val="00195ED5"/>
    <w:rsid w:val="00196714"/>
    <w:rsid w:val="00196ED4"/>
    <w:rsid w:val="0019734A"/>
    <w:rsid w:val="001A00E2"/>
    <w:rsid w:val="001A0B72"/>
    <w:rsid w:val="001A0D9E"/>
    <w:rsid w:val="001A14C0"/>
    <w:rsid w:val="001A191A"/>
    <w:rsid w:val="001A2B81"/>
    <w:rsid w:val="001A33DD"/>
    <w:rsid w:val="001A36EB"/>
    <w:rsid w:val="001A3906"/>
    <w:rsid w:val="001A48C2"/>
    <w:rsid w:val="001A4C51"/>
    <w:rsid w:val="001A5736"/>
    <w:rsid w:val="001A661F"/>
    <w:rsid w:val="001A6C1D"/>
    <w:rsid w:val="001B02F7"/>
    <w:rsid w:val="001B070E"/>
    <w:rsid w:val="001B0A85"/>
    <w:rsid w:val="001B1F1B"/>
    <w:rsid w:val="001B39DF"/>
    <w:rsid w:val="001B4DCC"/>
    <w:rsid w:val="001B564A"/>
    <w:rsid w:val="001B637A"/>
    <w:rsid w:val="001B6F73"/>
    <w:rsid w:val="001B757A"/>
    <w:rsid w:val="001C0692"/>
    <w:rsid w:val="001C0923"/>
    <w:rsid w:val="001C1D14"/>
    <w:rsid w:val="001C2A7D"/>
    <w:rsid w:val="001C4319"/>
    <w:rsid w:val="001C48B9"/>
    <w:rsid w:val="001C71E5"/>
    <w:rsid w:val="001D07F2"/>
    <w:rsid w:val="001D0CCA"/>
    <w:rsid w:val="001D0EEF"/>
    <w:rsid w:val="001D209E"/>
    <w:rsid w:val="001D23BB"/>
    <w:rsid w:val="001D2AD4"/>
    <w:rsid w:val="001D3BAF"/>
    <w:rsid w:val="001D3FAF"/>
    <w:rsid w:val="001D5534"/>
    <w:rsid w:val="001D63BE"/>
    <w:rsid w:val="001D6572"/>
    <w:rsid w:val="001D69E3"/>
    <w:rsid w:val="001E08D8"/>
    <w:rsid w:val="001E1828"/>
    <w:rsid w:val="001E21D8"/>
    <w:rsid w:val="001E29C5"/>
    <w:rsid w:val="001E2F91"/>
    <w:rsid w:val="001E479E"/>
    <w:rsid w:val="001E4EE0"/>
    <w:rsid w:val="001E56E7"/>
    <w:rsid w:val="001E5ADA"/>
    <w:rsid w:val="001E5B3C"/>
    <w:rsid w:val="001E6417"/>
    <w:rsid w:val="001E6EF8"/>
    <w:rsid w:val="001E7353"/>
    <w:rsid w:val="001F0080"/>
    <w:rsid w:val="001F0690"/>
    <w:rsid w:val="001F089D"/>
    <w:rsid w:val="001F12EF"/>
    <w:rsid w:val="001F14EB"/>
    <w:rsid w:val="001F2A34"/>
    <w:rsid w:val="001F2E98"/>
    <w:rsid w:val="001F2F19"/>
    <w:rsid w:val="001F4662"/>
    <w:rsid w:val="001F6F12"/>
    <w:rsid w:val="001F7019"/>
    <w:rsid w:val="00201025"/>
    <w:rsid w:val="00202C33"/>
    <w:rsid w:val="00202CF6"/>
    <w:rsid w:val="00202FE5"/>
    <w:rsid w:val="002030F3"/>
    <w:rsid w:val="00203937"/>
    <w:rsid w:val="00204BBB"/>
    <w:rsid w:val="00205D9D"/>
    <w:rsid w:val="002067BE"/>
    <w:rsid w:val="00207360"/>
    <w:rsid w:val="00207733"/>
    <w:rsid w:val="002116C2"/>
    <w:rsid w:val="00211705"/>
    <w:rsid w:val="00211A07"/>
    <w:rsid w:val="0021277A"/>
    <w:rsid w:val="00215E35"/>
    <w:rsid w:val="002166C6"/>
    <w:rsid w:val="00216B14"/>
    <w:rsid w:val="00216BBA"/>
    <w:rsid w:val="002177D4"/>
    <w:rsid w:val="002201E5"/>
    <w:rsid w:val="002204E1"/>
    <w:rsid w:val="002210B7"/>
    <w:rsid w:val="00222133"/>
    <w:rsid w:val="00223335"/>
    <w:rsid w:val="002235F5"/>
    <w:rsid w:val="0022383C"/>
    <w:rsid w:val="00223BD6"/>
    <w:rsid w:val="00225077"/>
    <w:rsid w:val="00225B7A"/>
    <w:rsid w:val="0022610A"/>
    <w:rsid w:val="0022677B"/>
    <w:rsid w:val="00226828"/>
    <w:rsid w:val="002270B9"/>
    <w:rsid w:val="0022739E"/>
    <w:rsid w:val="00227A87"/>
    <w:rsid w:val="00227A90"/>
    <w:rsid w:val="00227B94"/>
    <w:rsid w:val="002303E0"/>
    <w:rsid w:val="00230526"/>
    <w:rsid w:val="00231C82"/>
    <w:rsid w:val="002329F5"/>
    <w:rsid w:val="00232DE8"/>
    <w:rsid w:val="002337F3"/>
    <w:rsid w:val="0023397E"/>
    <w:rsid w:val="00233D9E"/>
    <w:rsid w:val="00234448"/>
    <w:rsid w:val="002347B7"/>
    <w:rsid w:val="00236246"/>
    <w:rsid w:val="002363A2"/>
    <w:rsid w:val="00237039"/>
    <w:rsid w:val="00237A83"/>
    <w:rsid w:val="00240096"/>
    <w:rsid w:val="00240596"/>
    <w:rsid w:val="00241663"/>
    <w:rsid w:val="00241B65"/>
    <w:rsid w:val="00242E0E"/>
    <w:rsid w:val="002430C7"/>
    <w:rsid w:val="0024459F"/>
    <w:rsid w:val="0024476E"/>
    <w:rsid w:val="0024565A"/>
    <w:rsid w:val="00246010"/>
    <w:rsid w:val="002466D7"/>
    <w:rsid w:val="00246B97"/>
    <w:rsid w:val="00246BC9"/>
    <w:rsid w:val="00247B79"/>
    <w:rsid w:val="00247FA4"/>
    <w:rsid w:val="00250580"/>
    <w:rsid w:val="002506D5"/>
    <w:rsid w:val="00250C88"/>
    <w:rsid w:val="00250F81"/>
    <w:rsid w:val="00251D66"/>
    <w:rsid w:val="0025240D"/>
    <w:rsid w:val="00252D2A"/>
    <w:rsid w:val="00253AAC"/>
    <w:rsid w:val="002542C9"/>
    <w:rsid w:val="00255631"/>
    <w:rsid w:val="002569EE"/>
    <w:rsid w:val="002572CF"/>
    <w:rsid w:val="00257D0F"/>
    <w:rsid w:val="00261079"/>
    <w:rsid w:val="00264503"/>
    <w:rsid w:val="0026490E"/>
    <w:rsid w:val="00265263"/>
    <w:rsid w:val="00265317"/>
    <w:rsid w:val="002655DB"/>
    <w:rsid w:val="0026591F"/>
    <w:rsid w:val="002662DE"/>
    <w:rsid w:val="002666E6"/>
    <w:rsid w:val="00267E16"/>
    <w:rsid w:val="00270083"/>
    <w:rsid w:val="00270231"/>
    <w:rsid w:val="0027045D"/>
    <w:rsid w:val="002708B4"/>
    <w:rsid w:val="00270F98"/>
    <w:rsid w:val="0027156C"/>
    <w:rsid w:val="00271D45"/>
    <w:rsid w:val="00271E5A"/>
    <w:rsid w:val="0027271E"/>
    <w:rsid w:val="00272DE0"/>
    <w:rsid w:val="0027306B"/>
    <w:rsid w:val="00273140"/>
    <w:rsid w:val="002739B6"/>
    <w:rsid w:val="00274118"/>
    <w:rsid w:val="00274DEC"/>
    <w:rsid w:val="00274F53"/>
    <w:rsid w:val="00274F56"/>
    <w:rsid w:val="00275372"/>
    <w:rsid w:val="0027593E"/>
    <w:rsid w:val="00276A78"/>
    <w:rsid w:val="0027703D"/>
    <w:rsid w:val="0028022E"/>
    <w:rsid w:val="00280A1D"/>
    <w:rsid w:val="00281271"/>
    <w:rsid w:val="00282147"/>
    <w:rsid w:val="00282C09"/>
    <w:rsid w:val="00283100"/>
    <w:rsid w:val="00283659"/>
    <w:rsid w:val="00283BE4"/>
    <w:rsid w:val="00283E7A"/>
    <w:rsid w:val="00284E4D"/>
    <w:rsid w:val="00284EB4"/>
    <w:rsid w:val="00285263"/>
    <w:rsid w:val="002855B1"/>
    <w:rsid w:val="00285C8D"/>
    <w:rsid w:val="002878AF"/>
    <w:rsid w:val="00287F0F"/>
    <w:rsid w:val="0029037E"/>
    <w:rsid w:val="00290912"/>
    <w:rsid w:val="002916DE"/>
    <w:rsid w:val="002922FE"/>
    <w:rsid w:val="002934BF"/>
    <w:rsid w:val="00293696"/>
    <w:rsid w:val="00294E6B"/>
    <w:rsid w:val="00295418"/>
    <w:rsid w:val="00295A1A"/>
    <w:rsid w:val="00296377"/>
    <w:rsid w:val="00296D94"/>
    <w:rsid w:val="00297063"/>
    <w:rsid w:val="00297339"/>
    <w:rsid w:val="002A20C0"/>
    <w:rsid w:val="002A24F5"/>
    <w:rsid w:val="002A38EC"/>
    <w:rsid w:val="002A3C53"/>
    <w:rsid w:val="002A459A"/>
    <w:rsid w:val="002A751C"/>
    <w:rsid w:val="002B077C"/>
    <w:rsid w:val="002B090F"/>
    <w:rsid w:val="002B2229"/>
    <w:rsid w:val="002B53E8"/>
    <w:rsid w:val="002B5525"/>
    <w:rsid w:val="002B626F"/>
    <w:rsid w:val="002B724F"/>
    <w:rsid w:val="002B784F"/>
    <w:rsid w:val="002B79D4"/>
    <w:rsid w:val="002B7AEB"/>
    <w:rsid w:val="002C0583"/>
    <w:rsid w:val="002C167F"/>
    <w:rsid w:val="002C3423"/>
    <w:rsid w:val="002C354E"/>
    <w:rsid w:val="002C35DF"/>
    <w:rsid w:val="002C4173"/>
    <w:rsid w:val="002C5002"/>
    <w:rsid w:val="002C635D"/>
    <w:rsid w:val="002C7A32"/>
    <w:rsid w:val="002C7ACB"/>
    <w:rsid w:val="002D17D9"/>
    <w:rsid w:val="002D17F3"/>
    <w:rsid w:val="002D2FEF"/>
    <w:rsid w:val="002D3DE6"/>
    <w:rsid w:val="002D5AF2"/>
    <w:rsid w:val="002D5D8A"/>
    <w:rsid w:val="002D7C20"/>
    <w:rsid w:val="002E2921"/>
    <w:rsid w:val="002E2B68"/>
    <w:rsid w:val="002E51C6"/>
    <w:rsid w:val="002E5AC2"/>
    <w:rsid w:val="002E6CCF"/>
    <w:rsid w:val="002E762F"/>
    <w:rsid w:val="002F0469"/>
    <w:rsid w:val="002F1592"/>
    <w:rsid w:val="002F16BC"/>
    <w:rsid w:val="002F3559"/>
    <w:rsid w:val="002F3945"/>
    <w:rsid w:val="002F4854"/>
    <w:rsid w:val="002F5618"/>
    <w:rsid w:val="002F561B"/>
    <w:rsid w:val="002F653F"/>
    <w:rsid w:val="002F6696"/>
    <w:rsid w:val="002F6719"/>
    <w:rsid w:val="002F6FB0"/>
    <w:rsid w:val="003008DA"/>
    <w:rsid w:val="0030124A"/>
    <w:rsid w:val="003026C8"/>
    <w:rsid w:val="00302AA9"/>
    <w:rsid w:val="00303699"/>
    <w:rsid w:val="00303E56"/>
    <w:rsid w:val="00304557"/>
    <w:rsid w:val="00305032"/>
    <w:rsid w:val="00305E05"/>
    <w:rsid w:val="00306B8D"/>
    <w:rsid w:val="00313255"/>
    <w:rsid w:val="00314D57"/>
    <w:rsid w:val="00314D5D"/>
    <w:rsid w:val="00314E9E"/>
    <w:rsid w:val="0031544C"/>
    <w:rsid w:val="00316150"/>
    <w:rsid w:val="00316DBD"/>
    <w:rsid w:val="00317532"/>
    <w:rsid w:val="0031772A"/>
    <w:rsid w:val="00317E32"/>
    <w:rsid w:val="003207F7"/>
    <w:rsid w:val="00320BCA"/>
    <w:rsid w:val="00321E67"/>
    <w:rsid w:val="003225B8"/>
    <w:rsid w:val="00322817"/>
    <w:rsid w:val="00323314"/>
    <w:rsid w:val="00323F66"/>
    <w:rsid w:val="00324598"/>
    <w:rsid w:val="003252B0"/>
    <w:rsid w:val="0032737D"/>
    <w:rsid w:val="00327A66"/>
    <w:rsid w:val="00330A95"/>
    <w:rsid w:val="00331558"/>
    <w:rsid w:val="0033287B"/>
    <w:rsid w:val="003328CC"/>
    <w:rsid w:val="00332DFE"/>
    <w:rsid w:val="00332E95"/>
    <w:rsid w:val="00333BF7"/>
    <w:rsid w:val="003342AC"/>
    <w:rsid w:val="00334C83"/>
    <w:rsid w:val="0033535C"/>
    <w:rsid w:val="00335455"/>
    <w:rsid w:val="0033566E"/>
    <w:rsid w:val="00335B05"/>
    <w:rsid w:val="00336506"/>
    <w:rsid w:val="003366D5"/>
    <w:rsid w:val="0033714A"/>
    <w:rsid w:val="00337280"/>
    <w:rsid w:val="00337E18"/>
    <w:rsid w:val="003412D5"/>
    <w:rsid w:val="003412F4"/>
    <w:rsid w:val="003433E8"/>
    <w:rsid w:val="003444EC"/>
    <w:rsid w:val="003444FF"/>
    <w:rsid w:val="00344BF0"/>
    <w:rsid w:val="0034544B"/>
    <w:rsid w:val="00345938"/>
    <w:rsid w:val="003460A2"/>
    <w:rsid w:val="00346ACE"/>
    <w:rsid w:val="00350592"/>
    <w:rsid w:val="003508A7"/>
    <w:rsid w:val="0035107C"/>
    <w:rsid w:val="00352408"/>
    <w:rsid w:val="00352AF0"/>
    <w:rsid w:val="00354CC2"/>
    <w:rsid w:val="0035511C"/>
    <w:rsid w:val="00355245"/>
    <w:rsid w:val="00355DA8"/>
    <w:rsid w:val="003561BE"/>
    <w:rsid w:val="00357D0B"/>
    <w:rsid w:val="00357E0C"/>
    <w:rsid w:val="00357F3B"/>
    <w:rsid w:val="00360696"/>
    <w:rsid w:val="00360735"/>
    <w:rsid w:val="00360BDC"/>
    <w:rsid w:val="00360D9C"/>
    <w:rsid w:val="00360E89"/>
    <w:rsid w:val="00361F39"/>
    <w:rsid w:val="003623FD"/>
    <w:rsid w:val="003629B1"/>
    <w:rsid w:val="00365716"/>
    <w:rsid w:val="00367F33"/>
    <w:rsid w:val="003712AE"/>
    <w:rsid w:val="0037134E"/>
    <w:rsid w:val="00371B7E"/>
    <w:rsid w:val="00371DC7"/>
    <w:rsid w:val="003737DB"/>
    <w:rsid w:val="0037396D"/>
    <w:rsid w:val="00374FBC"/>
    <w:rsid w:val="0037510D"/>
    <w:rsid w:val="0037525F"/>
    <w:rsid w:val="00375DDE"/>
    <w:rsid w:val="00375E14"/>
    <w:rsid w:val="00376270"/>
    <w:rsid w:val="003765D1"/>
    <w:rsid w:val="00376B4A"/>
    <w:rsid w:val="0037739C"/>
    <w:rsid w:val="00377855"/>
    <w:rsid w:val="00377A41"/>
    <w:rsid w:val="00380957"/>
    <w:rsid w:val="00380AE2"/>
    <w:rsid w:val="00381122"/>
    <w:rsid w:val="003821B5"/>
    <w:rsid w:val="00383396"/>
    <w:rsid w:val="00384611"/>
    <w:rsid w:val="00384F78"/>
    <w:rsid w:val="00385B28"/>
    <w:rsid w:val="00386B0B"/>
    <w:rsid w:val="00390C58"/>
    <w:rsid w:val="00391257"/>
    <w:rsid w:val="00392A9A"/>
    <w:rsid w:val="003934CB"/>
    <w:rsid w:val="003935B5"/>
    <w:rsid w:val="0039447D"/>
    <w:rsid w:val="003947E5"/>
    <w:rsid w:val="00395048"/>
    <w:rsid w:val="003972BE"/>
    <w:rsid w:val="003A036B"/>
    <w:rsid w:val="003A056F"/>
    <w:rsid w:val="003A19E0"/>
    <w:rsid w:val="003A1DB3"/>
    <w:rsid w:val="003A2C11"/>
    <w:rsid w:val="003A611D"/>
    <w:rsid w:val="003A7517"/>
    <w:rsid w:val="003A792B"/>
    <w:rsid w:val="003A7D72"/>
    <w:rsid w:val="003B0294"/>
    <w:rsid w:val="003B031B"/>
    <w:rsid w:val="003B0A66"/>
    <w:rsid w:val="003B0ACA"/>
    <w:rsid w:val="003B1406"/>
    <w:rsid w:val="003B2892"/>
    <w:rsid w:val="003B34D7"/>
    <w:rsid w:val="003B3B30"/>
    <w:rsid w:val="003B42FB"/>
    <w:rsid w:val="003B6498"/>
    <w:rsid w:val="003B7332"/>
    <w:rsid w:val="003B7B7B"/>
    <w:rsid w:val="003B7CE0"/>
    <w:rsid w:val="003C09F5"/>
    <w:rsid w:val="003C0DBC"/>
    <w:rsid w:val="003C21C5"/>
    <w:rsid w:val="003C26A1"/>
    <w:rsid w:val="003C2EF0"/>
    <w:rsid w:val="003C2FAE"/>
    <w:rsid w:val="003C3072"/>
    <w:rsid w:val="003C46C4"/>
    <w:rsid w:val="003C55A6"/>
    <w:rsid w:val="003C57AA"/>
    <w:rsid w:val="003C5FF1"/>
    <w:rsid w:val="003C6187"/>
    <w:rsid w:val="003C61CC"/>
    <w:rsid w:val="003C646B"/>
    <w:rsid w:val="003C7648"/>
    <w:rsid w:val="003C7F34"/>
    <w:rsid w:val="003D04E5"/>
    <w:rsid w:val="003D1A16"/>
    <w:rsid w:val="003D2F7D"/>
    <w:rsid w:val="003D33BB"/>
    <w:rsid w:val="003D3D14"/>
    <w:rsid w:val="003D4002"/>
    <w:rsid w:val="003D4E37"/>
    <w:rsid w:val="003D533E"/>
    <w:rsid w:val="003D57D7"/>
    <w:rsid w:val="003D603F"/>
    <w:rsid w:val="003D7054"/>
    <w:rsid w:val="003D72AF"/>
    <w:rsid w:val="003D73F3"/>
    <w:rsid w:val="003D75F3"/>
    <w:rsid w:val="003D7A14"/>
    <w:rsid w:val="003E080D"/>
    <w:rsid w:val="003E0B6B"/>
    <w:rsid w:val="003E11B8"/>
    <w:rsid w:val="003E14F5"/>
    <w:rsid w:val="003E1687"/>
    <w:rsid w:val="003E310F"/>
    <w:rsid w:val="003E452B"/>
    <w:rsid w:val="003E747C"/>
    <w:rsid w:val="003F0596"/>
    <w:rsid w:val="003F1286"/>
    <w:rsid w:val="003F13DE"/>
    <w:rsid w:val="003F1EB7"/>
    <w:rsid w:val="003F309C"/>
    <w:rsid w:val="003F54DA"/>
    <w:rsid w:val="003F5793"/>
    <w:rsid w:val="003F58F3"/>
    <w:rsid w:val="003F5A08"/>
    <w:rsid w:val="003F6511"/>
    <w:rsid w:val="003F6660"/>
    <w:rsid w:val="003F6DE1"/>
    <w:rsid w:val="003F7646"/>
    <w:rsid w:val="003F77FA"/>
    <w:rsid w:val="003F7837"/>
    <w:rsid w:val="003F789C"/>
    <w:rsid w:val="003F7F78"/>
    <w:rsid w:val="00400F6D"/>
    <w:rsid w:val="0040145F"/>
    <w:rsid w:val="004029CF"/>
    <w:rsid w:val="00402C55"/>
    <w:rsid w:val="0040461A"/>
    <w:rsid w:val="00406052"/>
    <w:rsid w:val="00406499"/>
    <w:rsid w:val="00406727"/>
    <w:rsid w:val="00407A93"/>
    <w:rsid w:val="00407F28"/>
    <w:rsid w:val="00411B33"/>
    <w:rsid w:val="004124DD"/>
    <w:rsid w:val="004128C2"/>
    <w:rsid w:val="00414033"/>
    <w:rsid w:val="004142D9"/>
    <w:rsid w:val="00414948"/>
    <w:rsid w:val="00416FF0"/>
    <w:rsid w:val="00417942"/>
    <w:rsid w:val="004204BD"/>
    <w:rsid w:val="00420C50"/>
    <w:rsid w:val="0042187A"/>
    <w:rsid w:val="00422109"/>
    <w:rsid w:val="0042402A"/>
    <w:rsid w:val="00424A5A"/>
    <w:rsid w:val="004253B5"/>
    <w:rsid w:val="00425424"/>
    <w:rsid w:val="0042569B"/>
    <w:rsid w:val="00425901"/>
    <w:rsid w:val="00425C7D"/>
    <w:rsid w:val="0042613A"/>
    <w:rsid w:val="00426B34"/>
    <w:rsid w:val="00426D76"/>
    <w:rsid w:val="00427103"/>
    <w:rsid w:val="00427AC6"/>
    <w:rsid w:val="0043066A"/>
    <w:rsid w:val="0043118E"/>
    <w:rsid w:val="00432E88"/>
    <w:rsid w:val="00434B76"/>
    <w:rsid w:val="00434CB8"/>
    <w:rsid w:val="00434E78"/>
    <w:rsid w:val="00435338"/>
    <w:rsid w:val="00435913"/>
    <w:rsid w:val="0044129D"/>
    <w:rsid w:val="00441CA7"/>
    <w:rsid w:val="004435F8"/>
    <w:rsid w:val="00443AB7"/>
    <w:rsid w:val="00443EF8"/>
    <w:rsid w:val="00444AD8"/>
    <w:rsid w:val="00445C04"/>
    <w:rsid w:val="00446046"/>
    <w:rsid w:val="00450251"/>
    <w:rsid w:val="00450FE4"/>
    <w:rsid w:val="0045109F"/>
    <w:rsid w:val="004512D4"/>
    <w:rsid w:val="00451735"/>
    <w:rsid w:val="00451951"/>
    <w:rsid w:val="00451E1C"/>
    <w:rsid w:val="00452918"/>
    <w:rsid w:val="00452DD7"/>
    <w:rsid w:val="0045338A"/>
    <w:rsid w:val="00453C35"/>
    <w:rsid w:val="00454FA7"/>
    <w:rsid w:val="00457C27"/>
    <w:rsid w:val="00457ED7"/>
    <w:rsid w:val="004602E4"/>
    <w:rsid w:val="004603A6"/>
    <w:rsid w:val="00460794"/>
    <w:rsid w:val="00460CAB"/>
    <w:rsid w:val="0046271B"/>
    <w:rsid w:val="00463F0C"/>
    <w:rsid w:val="0046460A"/>
    <w:rsid w:val="00464BC2"/>
    <w:rsid w:val="00464F1B"/>
    <w:rsid w:val="00464F9E"/>
    <w:rsid w:val="00465B68"/>
    <w:rsid w:val="00465CDF"/>
    <w:rsid w:val="004660D2"/>
    <w:rsid w:val="004666F1"/>
    <w:rsid w:val="004667DC"/>
    <w:rsid w:val="00466F8A"/>
    <w:rsid w:val="00467101"/>
    <w:rsid w:val="00467679"/>
    <w:rsid w:val="004705BC"/>
    <w:rsid w:val="00470959"/>
    <w:rsid w:val="004714E6"/>
    <w:rsid w:val="004719E6"/>
    <w:rsid w:val="00471C8D"/>
    <w:rsid w:val="004723E4"/>
    <w:rsid w:val="00472681"/>
    <w:rsid w:val="00473563"/>
    <w:rsid w:val="00473700"/>
    <w:rsid w:val="0047433D"/>
    <w:rsid w:val="004747E9"/>
    <w:rsid w:val="00475DC7"/>
    <w:rsid w:val="00475FEB"/>
    <w:rsid w:val="00476165"/>
    <w:rsid w:val="00476AC4"/>
    <w:rsid w:val="004771C0"/>
    <w:rsid w:val="00477564"/>
    <w:rsid w:val="004778C7"/>
    <w:rsid w:val="004800EB"/>
    <w:rsid w:val="00480924"/>
    <w:rsid w:val="00480EC6"/>
    <w:rsid w:val="004813AA"/>
    <w:rsid w:val="00482357"/>
    <w:rsid w:val="004824AB"/>
    <w:rsid w:val="004841DE"/>
    <w:rsid w:val="004848FD"/>
    <w:rsid w:val="00484A5C"/>
    <w:rsid w:val="00485F57"/>
    <w:rsid w:val="0048651B"/>
    <w:rsid w:val="00487946"/>
    <w:rsid w:val="00487BAA"/>
    <w:rsid w:val="00490640"/>
    <w:rsid w:val="00490A79"/>
    <w:rsid w:val="004915C1"/>
    <w:rsid w:val="004922ED"/>
    <w:rsid w:val="004923BF"/>
    <w:rsid w:val="0049252A"/>
    <w:rsid w:val="00492707"/>
    <w:rsid w:val="00492A9F"/>
    <w:rsid w:val="00492C8A"/>
    <w:rsid w:val="004942D8"/>
    <w:rsid w:val="0049442B"/>
    <w:rsid w:val="004945BB"/>
    <w:rsid w:val="004952C2"/>
    <w:rsid w:val="00495419"/>
    <w:rsid w:val="0049567A"/>
    <w:rsid w:val="00496C54"/>
    <w:rsid w:val="00497100"/>
    <w:rsid w:val="00497262"/>
    <w:rsid w:val="00497D91"/>
    <w:rsid w:val="00497E94"/>
    <w:rsid w:val="004A062D"/>
    <w:rsid w:val="004A0A2B"/>
    <w:rsid w:val="004A0A95"/>
    <w:rsid w:val="004A0ED9"/>
    <w:rsid w:val="004A153D"/>
    <w:rsid w:val="004A287F"/>
    <w:rsid w:val="004A4491"/>
    <w:rsid w:val="004A451D"/>
    <w:rsid w:val="004A464F"/>
    <w:rsid w:val="004A49E2"/>
    <w:rsid w:val="004A4EE1"/>
    <w:rsid w:val="004A518B"/>
    <w:rsid w:val="004A557A"/>
    <w:rsid w:val="004A64FE"/>
    <w:rsid w:val="004A697F"/>
    <w:rsid w:val="004A6C7E"/>
    <w:rsid w:val="004A7968"/>
    <w:rsid w:val="004B094B"/>
    <w:rsid w:val="004B0C6F"/>
    <w:rsid w:val="004B0E76"/>
    <w:rsid w:val="004B102A"/>
    <w:rsid w:val="004B1B89"/>
    <w:rsid w:val="004B2A8F"/>
    <w:rsid w:val="004B3B59"/>
    <w:rsid w:val="004B40A7"/>
    <w:rsid w:val="004B41CE"/>
    <w:rsid w:val="004B4885"/>
    <w:rsid w:val="004B5433"/>
    <w:rsid w:val="004B553F"/>
    <w:rsid w:val="004B5915"/>
    <w:rsid w:val="004B617B"/>
    <w:rsid w:val="004B654A"/>
    <w:rsid w:val="004B6B0C"/>
    <w:rsid w:val="004C0591"/>
    <w:rsid w:val="004C1332"/>
    <w:rsid w:val="004C16C4"/>
    <w:rsid w:val="004C1BA8"/>
    <w:rsid w:val="004C1D05"/>
    <w:rsid w:val="004C1FA5"/>
    <w:rsid w:val="004C29BF"/>
    <w:rsid w:val="004C3272"/>
    <w:rsid w:val="004C333E"/>
    <w:rsid w:val="004C3951"/>
    <w:rsid w:val="004C3F65"/>
    <w:rsid w:val="004C40FA"/>
    <w:rsid w:val="004C4BC2"/>
    <w:rsid w:val="004C50FF"/>
    <w:rsid w:val="004C7A8C"/>
    <w:rsid w:val="004D03B5"/>
    <w:rsid w:val="004D1FA7"/>
    <w:rsid w:val="004D2A9F"/>
    <w:rsid w:val="004D38B9"/>
    <w:rsid w:val="004D3F53"/>
    <w:rsid w:val="004D4057"/>
    <w:rsid w:val="004D4948"/>
    <w:rsid w:val="004D5173"/>
    <w:rsid w:val="004D54C1"/>
    <w:rsid w:val="004D65B2"/>
    <w:rsid w:val="004D71AA"/>
    <w:rsid w:val="004D7676"/>
    <w:rsid w:val="004E058A"/>
    <w:rsid w:val="004E1C3B"/>
    <w:rsid w:val="004E1DF4"/>
    <w:rsid w:val="004E24F4"/>
    <w:rsid w:val="004E2C74"/>
    <w:rsid w:val="004E3CC7"/>
    <w:rsid w:val="004E5354"/>
    <w:rsid w:val="004E5883"/>
    <w:rsid w:val="004E6078"/>
    <w:rsid w:val="004E66B0"/>
    <w:rsid w:val="004E6DD2"/>
    <w:rsid w:val="004F1046"/>
    <w:rsid w:val="004F2B45"/>
    <w:rsid w:val="004F311F"/>
    <w:rsid w:val="004F3C31"/>
    <w:rsid w:val="004F42C9"/>
    <w:rsid w:val="004F42EE"/>
    <w:rsid w:val="004F5569"/>
    <w:rsid w:val="004F5766"/>
    <w:rsid w:val="004F6A57"/>
    <w:rsid w:val="004F78E0"/>
    <w:rsid w:val="00501E63"/>
    <w:rsid w:val="00502383"/>
    <w:rsid w:val="00503405"/>
    <w:rsid w:val="0050461B"/>
    <w:rsid w:val="0050464B"/>
    <w:rsid w:val="00504893"/>
    <w:rsid w:val="005048E1"/>
    <w:rsid w:val="00504CB9"/>
    <w:rsid w:val="00505D6E"/>
    <w:rsid w:val="005066CB"/>
    <w:rsid w:val="0050686B"/>
    <w:rsid w:val="00507549"/>
    <w:rsid w:val="005104F0"/>
    <w:rsid w:val="00511614"/>
    <w:rsid w:val="00511969"/>
    <w:rsid w:val="00512593"/>
    <w:rsid w:val="0051299C"/>
    <w:rsid w:val="0051317E"/>
    <w:rsid w:val="00513575"/>
    <w:rsid w:val="00513C23"/>
    <w:rsid w:val="00513C64"/>
    <w:rsid w:val="005140A6"/>
    <w:rsid w:val="00514136"/>
    <w:rsid w:val="00514A05"/>
    <w:rsid w:val="005159B9"/>
    <w:rsid w:val="0051634E"/>
    <w:rsid w:val="00516DB3"/>
    <w:rsid w:val="0051721C"/>
    <w:rsid w:val="00517225"/>
    <w:rsid w:val="00517CCC"/>
    <w:rsid w:val="00520517"/>
    <w:rsid w:val="005209D5"/>
    <w:rsid w:val="0052125D"/>
    <w:rsid w:val="00521C33"/>
    <w:rsid w:val="00522916"/>
    <w:rsid w:val="00522EA0"/>
    <w:rsid w:val="00523107"/>
    <w:rsid w:val="0052316E"/>
    <w:rsid w:val="005239D3"/>
    <w:rsid w:val="00526513"/>
    <w:rsid w:val="00526F42"/>
    <w:rsid w:val="005271C4"/>
    <w:rsid w:val="005276BC"/>
    <w:rsid w:val="005307C8"/>
    <w:rsid w:val="00530FD3"/>
    <w:rsid w:val="00531137"/>
    <w:rsid w:val="005311F7"/>
    <w:rsid w:val="005318AB"/>
    <w:rsid w:val="00531C78"/>
    <w:rsid w:val="0053200F"/>
    <w:rsid w:val="00532DBB"/>
    <w:rsid w:val="00532F74"/>
    <w:rsid w:val="0053323D"/>
    <w:rsid w:val="005340D2"/>
    <w:rsid w:val="00536B02"/>
    <w:rsid w:val="00536C4A"/>
    <w:rsid w:val="00537DE8"/>
    <w:rsid w:val="00540775"/>
    <w:rsid w:val="00540BA6"/>
    <w:rsid w:val="00540F57"/>
    <w:rsid w:val="005412CF"/>
    <w:rsid w:val="00543BCC"/>
    <w:rsid w:val="00543DBE"/>
    <w:rsid w:val="005440CF"/>
    <w:rsid w:val="00545465"/>
    <w:rsid w:val="005454EE"/>
    <w:rsid w:val="005456A3"/>
    <w:rsid w:val="00545CFC"/>
    <w:rsid w:val="005474DC"/>
    <w:rsid w:val="00547DAA"/>
    <w:rsid w:val="005502FC"/>
    <w:rsid w:val="00550C79"/>
    <w:rsid w:val="00550CDA"/>
    <w:rsid w:val="0055148C"/>
    <w:rsid w:val="005517BF"/>
    <w:rsid w:val="00551884"/>
    <w:rsid w:val="00552523"/>
    <w:rsid w:val="00552CFF"/>
    <w:rsid w:val="00552F63"/>
    <w:rsid w:val="00553115"/>
    <w:rsid w:val="005536F1"/>
    <w:rsid w:val="005537AA"/>
    <w:rsid w:val="005540DC"/>
    <w:rsid w:val="00554F93"/>
    <w:rsid w:val="0055588E"/>
    <w:rsid w:val="0055623A"/>
    <w:rsid w:val="00557359"/>
    <w:rsid w:val="00557899"/>
    <w:rsid w:val="00557958"/>
    <w:rsid w:val="00557D8A"/>
    <w:rsid w:val="005607F9"/>
    <w:rsid w:val="005617FC"/>
    <w:rsid w:val="0056214D"/>
    <w:rsid w:val="005641B2"/>
    <w:rsid w:val="005644D0"/>
    <w:rsid w:val="005645BC"/>
    <w:rsid w:val="00567731"/>
    <w:rsid w:val="00570B9C"/>
    <w:rsid w:val="00571332"/>
    <w:rsid w:val="005714C7"/>
    <w:rsid w:val="005735F6"/>
    <w:rsid w:val="00573E12"/>
    <w:rsid w:val="00574B63"/>
    <w:rsid w:val="005764E0"/>
    <w:rsid w:val="005771F1"/>
    <w:rsid w:val="00580A7C"/>
    <w:rsid w:val="00580AD0"/>
    <w:rsid w:val="00580E59"/>
    <w:rsid w:val="0058154E"/>
    <w:rsid w:val="005816D1"/>
    <w:rsid w:val="00581ACA"/>
    <w:rsid w:val="0058230B"/>
    <w:rsid w:val="00583449"/>
    <w:rsid w:val="00584F4B"/>
    <w:rsid w:val="00585100"/>
    <w:rsid w:val="00585475"/>
    <w:rsid w:val="00585617"/>
    <w:rsid w:val="005860BE"/>
    <w:rsid w:val="0059006D"/>
    <w:rsid w:val="00592C32"/>
    <w:rsid w:val="005931B1"/>
    <w:rsid w:val="00593490"/>
    <w:rsid w:val="0059429C"/>
    <w:rsid w:val="00596B3F"/>
    <w:rsid w:val="005A028E"/>
    <w:rsid w:val="005A0832"/>
    <w:rsid w:val="005A12A0"/>
    <w:rsid w:val="005A19BE"/>
    <w:rsid w:val="005A1CDC"/>
    <w:rsid w:val="005A1E9D"/>
    <w:rsid w:val="005A26A2"/>
    <w:rsid w:val="005A2AE9"/>
    <w:rsid w:val="005A3D1A"/>
    <w:rsid w:val="005A4232"/>
    <w:rsid w:val="005A43F8"/>
    <w:rsid w:val="005A444A"/>
    <w:rsid w:val="005A547F"/>
    <w:rsid w:val="005A6723"/>
    <w:rsid w:val="005A6C85"/>
    <w:rsid w:val="005B0F56"/>
    <w:rsid w:val="005B1F0F"/>
    <w:rsid w:val="005B32F0"/>
    <w:rsid w:val="005B35DF"/>
    <w:rsid w:val="005B3FCE"/>
    <w:rsid w:val="005B47F0"/>
    <w:rsid w:val="005B4C18"/>
    <w:rsid w:val="005B53D1"/>
    <w:rsid w:val="005B620F"/>
    <w:rsid w:val="005B636F"/>
    <w:rsid w:val="005B679C"/>
    <w:rsid w:val="005B702D"/>
    <w:rsid w:val="005C004A"/>
    <w:rsid w:val="005C0562"/>
    <w:rsid w:val="005C1AF7"/>
    <w:rsid w:val="005C3C71"/>
    <w:rsid w:val="005C3E66"/>
    <w:rsid w:val="005C40CB"/>
    <w:rsid w:val="005C425A"/>
    <w:rsid w:val="005C46A6"/>
    <w:rsid w:val="005C5566"/>
    <w:rsid w:val="005C5ACF"/>
    <w:rsid w:val="005C70C3"/>
    <w:rsid w:val="005C70C7"/>
    <w:rsid w:val="005C76F6"/>
    <w:rsid w:val="005C7D2D"/>
    <w:rsid w:val="005C7F02"/>
    <w:rsid w:val="005D0082"/>
    <w:rsid w:val="005D0DBA"/>
    <w:rsid w:val="005D2F83"/>
    <w:rsid w:val="005D3581"/>
    <w:rsid w:val="005D3F94"/>
    <w:rsid w:val="005D416D"/>
    <w:rsid w:val="005D4A84"/>
    <w:rsid w:val="005D5F2F"/>
    <w:rsid w:val="005D6912"/>
    <w:rsid w:val="005E0803"/>
    <w:rsid w:val="005E093C"/>
    <w:rsid w:val="005E1DB0"/>
    <w:rsid w:val="005E1F29"/>
    <w:rsid w:val="005E381C"/>
    <w:rsid w:val="005E4ECD"/>
    <w:rsid w:val="005E5022"/>
    <w:rsid w:val="005E5594"/>
    <w:rsid w:val="005E6453"/>
    <w:rsid w:val="005E760A"/>
    <w:rsid w:val="005E7C0D"/>
    <w:rsid w:val="005F0C77"/>
    <w:rsid w:val="005F25F5"/>
    <w:rsid w:val="005F35B9"/>
    <w:rsid w:val="005F39AB"/>
    <w:rsid w:val="005F4AD9"/>
    <w:rsid w:val="005F602C"/>
    <w:rsid w:val="005F6532"/>
    <w:rsid w:val="005F7447"/>
    <w:rsid w:val="005F7B1B"/>
    <w:rsid w:val="005F7BC4"/>
    <w:rsid w:val="005F7FC5"/>
    <w:rsid w:val="00602883"/>
    <w:rsid w:val="00602905"/>
    <w:rsid w:val="00602F24"/>
    <w:rsid w:val="006032E2"/>
    <w:rsid w:val="00603CE5"/>
    <w:rsid w:val="0060505E"/>
    <w:rsid w:val="006050D1"/>
    <w:rsid w:val="00606111"/>
    <w:rsid w:val="00606165"/>
    <w:rsid w:val="006067BE"/>
    <w:rsid w:val="0060696A"/>
    <w:rsid w:val="00607334"/>
    <w:rsid w:val="006073BD"/>
    <w:rsid w:val="00607C82"/>
    <w:rsid w:val="00607C83"/>
    <w:rsid w:val="00607E30"/>
    <w:rsid w:val="006118C9"/>
    <w:rsid w:val="00611F03"/>
    <w:rsid w:val="00612AAE"/>
    <w:rsid w:val="006136A6"/>
    <w:rsid w:val="006139A4"/>
    <w:rsid w:val="00613A6E"/>
    <w:rsid w:val="00613FC6"/>
    <w:rsid w:val="0061433A"/>
    <w:rsid w:val="00614EE6"/>
    <w:rsid w:val="00614F7C"/>
    <w:rsid w:val="00616A61"/>
    <w:rsid w:val="00616D2C"/>
    <w:rsid w:val="00617B4C"/>
    <w:rsid w:val="00617B81"/>
    <w:rsid w:val="00617C3D"/>
    <w:rsid w:val="00621E82"/>
    <w:rsid w:val="00621F77"/>
    <w:rsid w:val="006220EE"/>
    <w:rsid w:val="006232C5"/>
    <w:rsid w:val="0062402D"/>
    <w:rsid w:val="006268C5"/>
    <w:rsid w:val="00626BAA"/>
    <w:rsid w:val="00627C9D"/>
    <w:rsid w:val="00631D77"/>
    <w:rsid w:val="00633905"/>
    <w:rsid w:val="006346CE"/>
    <w:rsid w:val="006346E5"/>
    <w:rsid w:val="00635347"/>
    <w:rsid w:val="006354F9"/>
    <w:rsid w:val="006369D6"/>
    <w:rsid w:val="00636E41"/>
    <w:rsid w:val="00637850"/>
    <w:rsid w:val="006407D4"/>
    <w:rsid w:val="00640A43"/>
    <w:rsid w:val="0064124E"/>
    <w:rsid w:val="00641E50"/>
    <w:rsid w:val="006420E9"/>
    <w:rsid w:val="00642840"/>
    <w:rsid w:val="006429F7"/>
    <w:rsid w:val="00642FBF"/>
    <w:rsid w:val="00643599"/>
    <w:rsid w:val="006439D4"/>
    <w:rsid w:val="006455C9"/>
    <w:rsid w:val="00646B43"/>
    <w:rsid w:val="00647467"/>
    <w:rsid w:val="00647BCE"/>
    <w:rsid w:val="006506ED"/>
    <w:rsid w:val="00650A6A"/>
    <w:rsid w:val="00651CDD"/>
    <w:rsid w:val="006520FC"/>
    <w:rsid w:val="00652335"/>
    <w:rsid w:val="00652C79"/>
    <w:rsid w:val="006537E6"/>
    <w:rsid w:val="00654BC3"/>
    <w:rsid w:val="00655139"/>
    <w:rsid w:val="0065565C"/>
    <w:rsid w:val="006558EC"/>
    <w:rsid w:val="00656E8B"/>
    <w:rsid w:val="0065709F"/>
    <w:rsid w:val="00657D8A"/>
    <w:rsid w:val="006607B5"/>
    <w:rsid w:val="00660A54"/>
    <w:rsid w:val="00660C0B"/>
    <w:rsid w:val="00661275"/>
    <w:rsid w:val="00661978"/>
    <w:rsid w:val="006625AA"/>
    <w:rsid w:val="006626AE"/>
    <w:rsid w:val="006629E6"/>
    <w:rsid w:val="00662CC7"/>
    <w:rsid w:val="00663B63"/>
    <w:rsid w:val="00663BE6"/>
    <w:rsid w:val="006641D3"/>
    <w:rsid w:val="00664F39"/>
    <w:rsid w:val="0066603D"/>
    <w:rsid w:val="006666B6"/>
    <w:rsid w:val="00666E12"/>
    <w:rsid w:val="0066761D"/>
    <w:rsid w:val="00667E6A"/>
    <w:rsid w:val="00671E99"/>
    <w:rsid w:val="00672FF3"/>
    <w:rsid w:val="00674C69"/>
    <w:rsid w:val="00674D1A"/>
    <w:rsid w:val="00674EDE"/>
    <w:rsid w:val="0067517F"/>
    <w:rsid w:val="006753E1"/>
    <w:rsid w:val="00675706"/>
    <w:rsid w:val="0067648A"/>
    <w:rsid w:val="00676F26"/>
    <w:rsid w:val="00680459"/>
    <w:rsid w:val="006806A7"/>
    <w:rsid w:val="00680777"/>
    <w:rsid w:val="00680924"/>
    <w:rsid w:val="00681492"/>
    <w:rsid w:val="006826E0"/>
    <w:rsid w:val="00682B0D"/>
    <w:rsid w:val="0068350C"/>
    <w:rsid w:val="00684F8F"/>
    <w:rsid w:val="0068514E"/>
    <w:rsid w:val="00685C96"/>
    <w:rsid w:val="00686027"/>
    <w:rsid w:val="00686A6F"/>
    <w:rsid w:val="00687106"/>
    <w:rsid w:val="006900C2"/>
    <w:rsid w:val="00691FF3"/>
    <w:rsid w:val="00692EDC"/>
    <w:rsid w:val="00693422"/>
    <w:rsid w:val="00693ED6"/>
    <w:rsid w:val="00695D04"/>
    <w:rsid w:val="00695DE9"/>
    <w:rsid w:val="0069660E"/>
    <w:rsid w:val="00697337"/>
    <w:rsid w:val="0069784C"/>
    <w:rsid w:val="00697E0A"/>
    <w:rsid w:val="006A1401"/>
    <w:rsid w:val="006A1B2C"/>
    <w:rsid w:val="006A2311"/>
    <w:rsid w:val="006A3A68"/>
    <w:rsid w:val="006A3B50"/>
    <w:rsid w:val="006A3F9B"/>
    <w:rsid w:val="006A57FC"/>
    <w:rsid w:val="006A5840"/>
    <w:rsid w:val="006A6095"/>
    <w:rsid w:val="006A7639"/>
    <w:rsid w:val="006A7780"/>
    <w:rsid w:val="006B0382"/>
    <w:rsid w:val="006B0C46"/>
    <w:rsid w:val="006B1C12"/>
    <w:rsid w:val="006B1D3C"/>
    <w:rsid w:val="006B1FA5"/>
    <w:rsid w:val="006B21E1"/>
    <w:rsid w:val="006B25F4"/>
    <w:rsid w:val="006B4477"/>
    <w:rsid w:val="006B5916"/>
    <w:rsid w:val="006B609A"/>
    <w:rsid w:val="006B6215"/>
    <w:rsid w:val="006B6E11"/>
    <w:rsid w:val="006B7048"/>
    <w:rsid w:val="006C11F6"/>
    <w:rsid w:val="006C22A9"/>
    <w:rsid w:val="006C27B4"/>
    <w:rsid w:val="006C3039"/>
    <w:rsid w:val="006C381F"/>
    <w:rsid w:val="006C3A76"/>
    <w:rsid w:val="006C3DF2"/>
    <w:rsid w:val="006C4AAA"/>
    <w:rsid w:val="006C546E"/>
    <w:rsid w:val="006C6082"/>
    <w:rsid w:val="006C6933"/>
    <w:rsid w:val="006C71CF"/>
    <w:rsid w:val="006C7723"/>
    <w:rsid w:val="006C7AB9"/>
    <w:rsid w:val="006C7FD4"/>
    <w:rsid w:val="006D0992"/>
    <w:rsid w:val="006D0CDC"/>
    <w:rsid w:val="006D21AC"/>
    <w:rsid w:val="006D22CE"/>
    <w:rsid w:val="006D247E"/>
    <w:rsid w:val="006D24EB"/>
    <w:rsid w:val="006D2EB1"/>
    <w:rsid w:val="006D3E96"/>
    <w:rsid w:val="006D45AA"/>
    <w:rsid w:val="006D46DE"/>
    <w:rsid w:val="006D47DF"/>
    <w:rsid w:val="006D5744"/>
    <w:rsid w:val="006D5BC3"/>
    <w:rsid w:val="006D5CB9"/>
    <w:rsid w:val="006D6B95"/>
    <w:rsid w:val="006D795D"/>
    <w:rsid w:val="006E1543"/>
    <w:rsid w:val="006E18F6"/>
    <w:rsid w:val="006E1979"/>
    <w:rsid w:val="006E1EF4"/>
    <w:rsid w:val="006E345A"/>
    <w:rsid w:val="006E3BA2"/>
    <w:rsid w:val="006E46E1"/>
    <w:rsid w:val="006E4D78"/>
    <w:rsid w:val="006E55DD"/>
    <w:rsid w:val="006E5924"/>
    <w:rsid w:val="006E5E4B"/>
    <w:rsid w:val="006E62BC"/>
    <w:rsid w:val="006E68D4"/>
    <w:rsid w:val="006E6F62"/>
    <w:rsid w:val="006E7BF5"/>
    <w:rsid w:val="006E7FF9"/>
    <w:rsid w:val="006F0325"/>
    <w:rsid w:val="006F0DE5"/>
    <w:rsid w:val="006F1554"/>
    <w:rsid w:val="006F192A"/>
    <w:rsid w:val="006F2018"/>
    <w:rsid w:val="006F2873"/>
    <w:rsid w:val="006F421D"/>
    <w:rsid w:val="006F5E16"/>
    <w:rsid w:val="006F63BD"/>
    <w:rsid w:val="006F7632"/>
    <w:rsid w:val="007014E8"/>
    <w:rsid w:val="00702A09"/>
    <w:rsid w:val="007037A6"/>
    <w:rsid w:val="00704934"/>
    <w:rsid w:val="00704CB2"/>
    <w:rsid w:val="0070508B"/>
    <w:rsid w:val="007054CA"/>
    <w:rsid w:val="00706233"/>
    <w:rsid w:val="00706309"/>
    <w:rsid w:val="0070794B"/>
    <w:rsid w:val="00707ECE"/>
    <w:rsid w:val="00707FAD"/>
    <w:rsid w:val="0071010F"/>
    <w:rsid w:val="00710937"/>
    <w:rsid w:val="007110AB"/>
    <w:rsid w:val="00711D3E"/>
    <w:rsid w:val="0071235B"/>
    <w:rsid w:val="00713053"/>
    <w:rsid w:val="0071408A"/>
    <w:rsid w:val="00714512"/>
    <w:rsid w:val="00715746"/>
    <w:rsid w:val="007158D1"/>
    <w:rsid w:val="00715C48"/>
    <w:rsid w:val="0071619F"/>
    <w:rsid w:val="0071794D"/>
    <w:rsid w:val="00717FF8"/>
    <w:rsid w:val="00720A1A"/>
    <w:rsid w:val="00720DA8"/>
    <w:rsid w:val="00721267"/>
    <w:rsid w:val="007213D5"/>
    <w:rsid w:val="007213E3"/>
    <w:rsid w:val="00722EA3"/>
    <w:rsid w:val="007232A9"/>
    <w:rsid w:val="00724D85"/>
    <w:rsid w:val="00725240"/>
    <w:rsid w:val="00725417"/>
    <w:rsid w:val="007261B5"/>
    <w:rsid w:val="0073040E"/>
    <w:rsid w:val="00731D61"/>
    <w:rsid w:val="007332B6"/>
    <w:rsid w:val="0073407A"/>
    <w:rsid w:val="00734277"/>
    <w:rsid w:val="00734312"/>
    <w:rsid w:val="00734955"/>
    <w:rsid w:val="007357D9"/>
    <w:rsid w:val="00735BD3"/>
    <w:rsid w:val="00736619"/>
    <w:rsid w:val="00736F0B"/>
    <w:rsid w:val="00737AB7"/>
    <w:rsid w:val="00737D74"/>
    <w:rsid w:val="00741B34"/>
    <w:rsid w:val="007422CB"/>
    <w:rsid w:val="0074269F"/>
    <w:rsid w:val="0074301E"/>
    <w:rsid w:val="007430C6"/>
    <w:rsid w:val="00743E8F"/>
    <w:rsid w:val="0074408B"/>
    <w:rsid w:val="007448D9"/>
    <w:rsid w:val="00745F37"/>
    <w:rsid w:val="00746016"/>
    <w:rsid w:val="007472F1"/>
    <w:rsid w:val="00747ED2"/>
    <w:rsid w:val="00747FA6"/>
    <w:rsid w:val="007514F7"/>
    <w:rsid w:val="0075167F"/>
    <w:rsid w:val="00752091"/>
    <w:rsid w:val="00752282"/>
    <w:rsid w:val="00752411"/>
    <w:rsid w:val="00752AE7"/>
    <w:rsid w:val="00753EA9"/>
    <w:rsid w:val="0075414B"/>
    <w:rsid w:val="0075499D"/>
    <w:rsid w:val="00756840"/>
    <w:rsid w:val="00756B4F"/>
    <w:rsid w:val="0076042E"/>
    <w:rsid w:val="00760F81"/>
    <w:rsid w:val="0076110D"/>
    <w:rsid w:val="00761577"/>
    <w:rsid w:val="00761E92"/>
    <w:rsid w:val="0076278C"/>
    <w:rsid w:val="00762D96"/>
    <w:rsid w:val="00762E46"/>
    <w:rsid w:val="007630A2"/>
    <w:rsid w:val="007635E3"/>
    <w:rsid w:val="00763AD5"/>
    <w:rsid w:val="0076462E"/>
    <w:rsid w:val="0076467E"/>
    <w:rsid w:val="00764812"/>
    <w:rsid w:val="00765163"/>
    <w:rsid w:val="007664D4"/>
    <w:rsid w:val="0076695A"/>
    <w:rsid w:val="00767D22"/>
    <w:rsid w:val="007704E5"/>
    <w:rsid w:val="00770719"/>
    <w:rsid w:val="00770E4A"/>
    <w:rsid w:val="0077134E"/>
    <w:rsid w:val="00771A17"/>
    <w:rsid w:val="007720DB"/>
    <w:rsid w:val="00773025"/>
    <w:rsid w:val="0077369C"/>
    <w:rsid w:val="0077444F"/>
    <w:rsid w:val="0077488D"/>
    <w:rsid w:val="007754C2"/>
    <w:rsid w:val="0077550D"/>
    <w:rsid w:val="00776103"/>
    <w:rsid w:val="007765E6"/>
    <w:rsid w:val="007778E9"/>
    <w:rsid w:val="0078022E"/>
    <w:rsid w:val="00780C84"/>
    <w:rsid w:val="00780EAA"/>
    <w:rsid w:val="00782AFD"/>
    <w:rsid w:val="0078380A"/>
    <w:rsid w:val="00783F6B"/>
    <w:rsid w:val="00783FBB"/>
    <w:rsid w:val="00784194"/>
    <w:rsid w:val="00784297"/>
    <w:rsid w:val="00784651"/>
    <w:rsid w:val="007856BA"/>
    <w:rsid w:val="00785748"/>
    <w:rsid w:val="00785DED"/>
    <w:rsid w:val="007868C1"/>
    <w:rsid w:val="00786F62"/>
    <w:rsid w:val="00787233"/>
    <w:rsid w:val="007877A5"/>
    <w:rsid w:val="00787E57"/>
    <w:rsid w:val="007907C9"/>
    <w:rsid w:val="00790F80"/>
    <w:rsid w:val="00791F24"/>
    <w:rsid w:val="00792B50"/>
    <w:rsid w:val="00794C62"/>
    <w:rsid w:val="007953C0"/>
    <w:rsid w:val="00796A32"/>
    <w:rsid w:val="00797571"/>
    <w:rsid w:val="00797668"/>
    <w:rsid w:val="00797CA1"/>
    <w:rsid w:val="007A0FC6"/>
    <w:rsid w:val="007A19F2"/>
    <w:rsid w:val="007A4DE1"/>
    <w:rsid w:val="007A5544"/>
    <w:rsid w:val="007A586B"/>
    <w:rsid w:val="007A7427"/>
    <w:rsid w:val="007B00EF"/>
    <w:rsid w:val="007B19CA"/>
    <w:rsid w:val="007B2AA1"/>
    <w:rsid w:val="007B3423"/>
    <w:rsid w:val="007B508D"/>
    <w:rsid w:val="007B5429"/>
    <w:rsid w:val="007B566F"/>
    <w:rsid w:val="007B57E7"/>
    <w:rsid w:val="007B5CF6"/>
    <w:rsid w:val="007B6213"/>
    <w:rsid w:val="007B6A98"/>
    <w:rsid w:val="007B7F33"/>
    <w:rsid w:val="007B7FB4"/>
    <w:rsid w:val="007C1E51"/>
    <w:rsid w:val="007C2594"/>
    <w:rsid w:val="007C4BAA"/>
    <w:rsid w:val="007C693E"/>
    <w:rsid w:val="007C6F43"/>
    <w:rsid w:val="007C7E24"/>
    <w:rsid w:val="007D16E7"/>
    <w:rsid w:val="007D2489"/>
    <w:rsid w:val="007D2E95"/>
    <w:rsid w:val="007D3172"/>
    <w:rsid w:val="007D3574"/>
    <w:rsid w:val="007D3B60"/>
    <w:rsid w:val="007D429A"/>
    <w:rsid w:val="007D4C2B"/>
    <w:rsid w:val="007D611F"/>
    <w:rsid w:val="007D64FF"/>
    <w:rsid w:val="007D6810"/>
    <w:rsid w:val="007D6AD4"/>
    <w:rsid w:val="007E1239"/>
    <w:rsid w:val="007E24A6"/>
    <w:rsid w:val="007E47D3"/>
    <w:rsid w:val="007E5C0A"/>
    <w:rsid w:val="007E5D06"/>
    <w:rsid w:val="007E7144"/>
    <w:rsid w:val="007E7531"/>
    <w:rsid w:val="007E7657"/>
    <w:rsid w:val="007E7BE0"/>
    <w:rsid w:val="007F0317"/>
    <w:rsid w:val="007F0584"/>
    <w:rsid w:val="007F083C"/>
    <w:rsid w:val="007F12A0"/>
    <w:rsid w:val="007F16E3"/>
    <w:rsid w:val="007F1C86"/>
    <w:rsid w:val="007F21B4"/>
    <w:rsid w:val="007F2A6B"/>
    <w:rsid w:val="007F4E50"/>
    <w:rsid w:val="007F7598"/>
    <w:rsid w:val="008013C6"/>
    <w:rsid w:val="00802828"/>
    <w:rsid w:val="00802C5B"/>
    <w:rsid w:val="00802CE2"/>
    <w:rsid w:val="00802F95"/>
    <w:rsid w:val="00802FCB"/>
    <w:rsid w:val="00805C4A"/>
    <w:rsid w:val="0080657A"/>
    <w:rsid w:val="00806E3A"/>
    <w:rsid w:val="00806F98"/>
    <w:rsid w:val="00807843"/>
    <w:rsid w:val="0080795C"/>
    <w:rsid w:val="008107B3"/>
    <w:rsid w:val="00810E6A"/>
    <w:rsid w:val="008112DB"/>
    <w:rsid w:val="00813219"/>
    <w:rsid w:val="008132C2"/>
    <w:rsid w:val="008143C7"/>
    <w:rsid w:val="008152AC"/>
    <w:rsid w:val="00816243"/>
    <w:rsid w:val="00816B1C"/>
    <w:rsid w:val="00816B53"/>
    <w:rsid w:val="008200FA"/>
    <w:rsid w:val="0082377C"/>
    <w:rsid w:val="0082407E"/>
    <w:rsid w:val="00824F9A"/>
    <w:rsid w:val="00825409"/>
    <w:rsid w:val="008254F2"/>
    <w:rsid w:val="00826BE8"/>
    <w:rsid w:val="00827476"/>
    <w:rsid w:val="00830737"/>
    <w:rsid w:val="00831EDE"/>
    <w:rsid w:val="00832CD7"/>
    <w:rsid w:val="00832E25"/>
    <w:rsid w:val="0083347E"/>
    <w:rsid w:val="008335D5"/>
    <w:rsid w:val="0083693F"/>
    <w:rsid w:val="00836A0E"/>
    <w:rsid w:val="00836AEA"/>
    <w:rsid w:val="00836CDF"/>
    <w:rsid w:val="00836F40"/>
    <w:rsid w:val="00837AAB"/>
    <w:rsid w:val="00837CF3"/>
    <w:rsid w:val="00840A7A"/>
    <w:rsid w:val="00841898"/>
    <w:rsid w:val="00841CA2"/>
    <w:rsid w:val="00842290"/>
    <w:rsid w:val="0084277F"/>
    <w:rsid w:val="00842A99"/>
    <w:rsid w:val="008435AA"/>
    <w:rsid w:val="00843E68"/>
    <w:rsid w:val="0084462B"/>
    <w:rsid w:val="00844746"/>
    <w:rsid w:val="00844D5E"/>
    <w:rsid w:val="0084509D"/>
    <w:rsid w:val="00845C26"/>
    <w:rsid w:val="008465B3"/>
    <w:rsid w:val="00846A3A"/>
    <w:rsid w:val="00846DCB"/>
    <w:rsid w:val="00846F3B"/>
    <w:rsid w:val="008479B1"/>
    <w:rsid w:val="00847D38"/>
    <w:rsid w:val="008507DD"/>
    <w:rsid w:val="00850F0A"/>
    <w:rsid w:val="00850FD3"/>
    <w:rsid w:val="00851B1E"/>
    <w:rsid w:val="00852587"/>
    <w:rsid w:val="00852875"/>
    <w:rsid w:val="00853FDD"/>
    <w:rsid w:val="008541CE"/>
    <w:rsid w:val="00854FAD"/>
    <w:rsid w:val="00855144"/>
    <w:rsid w:val="00855184"/>
    <w:rsid w:val="008612E6"/>
    <w:rsid w:val="00862D00"/>
    <w:rsid w:val="00863BCA"/>
    <w:rsid w:val="00863CE0"/>
    <w:rsid w:val="00864097"/>
    <w:rsid w:val="008646A5"/>
    <w:rsid w:val="00864A6F"/>
    <w:rsid w:val="0086572A"/>
    <w:rsid w:val="008663E5"/>
    <w:rsid w:val="00866640"/>
    <w:rsid w:val="008667E2"/>
    <w:rsid w:val="008677E5"/>
    <w:rsid w:val="00867A5A"/>
    <w:rsid w:val="00870AA9"/>
    <w:rsid w:val="00870ECD"/>
    <w:rsid w:val="00871032"/>
    <w:rsid w:val="00871CB6"/>
    <w:rsid w:val="008726FE"/>
    <w:rsid w:val="008728DF"/>
    <w:rsid w:val="00872DC0"/>
    <w:rsid w:val="00873536"/>
    <w:rsid w:val="00874134"/>
    <w:rsid w:val="008744B9"/>
    <w:rsid w:val="00874957"/>
    <w:rsid w:val="00874C37"/>
    <w:rsid w:val="008758FB"/>
    <w:rsid w:val="00875AEB"/>
    <w:rsid w:val="008765F9"/>
    <w:rsid w:val="0087687B"/>
    <w:rsid w:val="008775CC"/>
    <w:rsid w:val="008776DF"/>
    <w:rsid w:val="008802D5"/>
    <w:rsid w:val="00880B11"/>
    <w:rsid w:val="00880D68"/>
    <w:rsid w:val="0088123B"/>
    <w:rsid w:val="00881307"/>
    <w:rsid w:val="008813F8"/>
    <w:rsid w:val="008827D6"/>
    <w:rsid w:val="00882DF1"/>
    <w:rsid w:val="00883370"/>
    <w:rsid w:val="0088445A"/>
    <w:rsid w:val="008849E2"/>
    <w:rsid w:val="00885272"/>
    <w:rsid w:val="00885E86"/>
    <w:rsid w:val="00886BC7"/>
    <w:rsid w:val="008872A9"/>
    <w:rsid w:val="00890F64"/>
    <w:rsid w:val="008910CA"/>
    <w:rsid w:val="00891133"/>
    <w:rsid w:val="0089210C"/>
    <w:rsid w:val="0089455B"/>
    <w:rsid w:val="008946D3"/>
    <w:rsid w:val="00894C92"/>
    <w:rsid w:val="008958A6"/>
    <w:rsid w:val="00895B2D"/>
    <w:rsid w:val="00896037"/>
    <w:rsid w:val="008961B7"/>
    <w:rsid w:val="00896D90"/>
    <w:rsid w:val="008A0B13"/>
    <w:rsid w:val="008A1D37"/>
    <w:rsid w:val="008A1F84"/>
    <w:rsid w:val="008A27F1"/>
    <w:rsid w:val="008A2EDC"/>
    <w:rsid w:val="008A375B"/>
    <w:rsid w:val="008A41EA"/>
    <w:rsid w:val="008A47F2"/>
    <w:rsid w:val="008A6CE8"/>
    <w:rsid w:val="008B0206"/>
    <w:rsid w:val="008B1008"/>
    <w:rsid w:val="008B3823"/>
    <w:rsid w:val="008B527A"/>
    <w:rsid w:val="008B5652"/>
    <w:rsid w:val="008B5F9F"/>
    <w:rsid w:val="008B6EE8"/>
    <w:rsid w:val="008C023B"/>
    <w:rsid w:val="008C0824"/>
    <w:rsid w:val="008C0A23"/>
    <w:rsid w:val="008C11FA"/>
    <w:rsid w:val="008C1C00"/>
    <w:rsid w:val="008C27D1"/>
    <w:rsid w:val="008C354D"/>
    <w:rsid w:val="008C5766"/>
    <w:rsid w:val="008C6221"/>
    <w:rsid w:val="008C66FF"/>
    <w:rsid w:val="008C7758"/>
    <w:rsid w:val="008C7A7B"/>
    <w:rsid w:val="008D0C69"/>
    <w:rsid w:val="008D0EF2"/>
    <w:rsid w:val="008D195B"/>
    <w:rsid w:val="008D30C6"/>
    <w:rsid w:val="008D33D4"/>
    <w:rsid w:val="008D4613"/>
    <w:rsid w:val="008D4B0D"/>
    <w:rsid w:val="008D5326"/>
    <w:rsid w:val="008D690D"/>
    <w:rsid w:val="008E21B2"/>
    <w:rsid w:val="008E2834"/>
    <w:rsid w:val="008E403C"/>
    <w:rsid w:val="008E47B2"/>
    <w:rsid w:val="008E48B1"/>
    <w:rsid w:val="008E5C81"/>
    <w:rsid w:val="008E6142"/>
    <w:rsid w:val="008E65BF"/>
    <w:rsid w:val="008E688F"/>
    <w:rsid w:val="008E69E0"/>
    <w:rsid w:val="008E7AAE"/>
    <w:rsid w:val="008F0730"/>
    <w:rsid w:val="008F08B5"/>
    <w:rsid w:val="008F2452"/>
    <w:rsid w:val="008F365C"/>
    <w:rsid w:val="008F3A98"/>
    <w:rsid w:val="008F4242"/>
    <w:rsid w:val="008F437C"/>
    <w:rsid w:val="008F4E09"/>
    <w:rsid w:val="008F5EB9"/>
    <w:rsid w:val="008F6869"/>
    <w:rsid w:val="008F6883"/>
    <w:rsid w:val="008F6A89"/>
    <w:rsid w:val="008F6A8A"/>
    <w:rsid w:val="008F7541"/>
    <w:rsid w:val="00900960"/>
    <w:rsid w:val="009016E8"/>
    <w:rsid w:val="00901D85"/>
    <w:rsid w:val="009029B4"/>
    <w:rsid w:val="00902A22"/>
    <w:rsid w:val="00903366"/>
    <w:rsid w:val="00904791"/>
    <w:rsid w:val="00904C32"/>
    <w:rsid w:val="00905834"/>
    <w:rsid w:val="0090608E"/>
    <w:rsid w:val="00907A99"/>
    <w:rsid w:val="00910803"/>
    <w:rsid w:val="00911CCC"/>
    <w:rsid w:val="00912529"/>
    <w:rsid w:val="00912940"/>
    <w:rsid w:val="00912B61"/>
    <w:rsid w:val="0091331C"/>
    <w:rsid w:val="00913DA7"/>
    <w:rsid w:val="009151D8"/>
    <w:rsid w:val="0091660E"/>
    <w:rsid w:val="00916F31"/>
    <w:rsid w:val="00917290"/>
    <w:rsid w:val="009207D1"/>
    <w:rsid w:val="00921CB2"/>
    <w:rsid w:val="009223B8"/>
    <w:rsid w:val="009224D1"/>
    <w:rsid w:val="009228B3"/>
    <w:rsid w:val="00924172"/>
    <w:rsid w:val="00924ADF"/>
    <w:rsid w:val="009252C4"/>
    <w:rsid w:val="00925C62"/>
    <w:rsid w:val="00925CA2"/>
    <w:rsid w:val="00926E2B"/>
    <w:rsid w:val="00926E58"/>
    <w:rsid w:val="00926E94"/>
    <w:rsid w:val="009312CB"/>
    <w:rsid w:val="00931449"/>
    <w:rsid w:val="00931862"/>
    <w:rsid w:val="00931937"/>
    <w:rsid w:val="00931FE4"/>
    <w:rsid w:val="00932436"/>
    <w:rsid w:val="0093421F"/>
    <w:rsid w:val="0093436C"/>
    <w:rsid w:val="00934777"/>
    <w:rsid w:val="00934BDA"/>
    <w:rsid w:val="009350A8"/>
    <w:rsid w:val="009358CE"/>
    <w:rsid w:val="00935BA7"/>
    <w:rsid w:val="00936334"/>
    <w:rsid w:val="00936BED"/>
    <w:rsid w:val="00937866"/>
    <w:rsid w:val="0093799D"/>
    <w:rsid w:val="0094181F"/>
    <w:rsid w:val="00942479"/>
    <w:rsid w:val="009425A7"/>
    <w:rsid w:val="009434CD"/>
    <w:rsid w:val="009437F0"/>
    <w:rsid w:val="00945F89"/>
    <w:rsid w:val="009460FC"/>
    <w:rsid w:val="00946B5F"/>
    <w:rsid w:val="00946CE9"/>
    <w:rsid w:val="00946E57"/>
    <w:rsid w:val="00946EBD"/>
    <w:rsid w:val="0095013C"/>
    <w:rsid w:val="009501B7"/>
    <w:rsid w:val="009503C2"/>
    <w:rsid w:val="00950875"/>
    <w:rsid w:val="00952581"/>
    <w:rsid w:val="0095283A"/>
    <w:rsid w:val="00952CF1"/>
    <w:rsid w:val="00952F5C"/>
    <w:rsid w:val="0095406B"/>
    <w:rsid w:val="00956048"/>
    <w:rsid w:val="009560B3"/>
    <w:rsid w:val="00957197"/>
    <w:rsid w:val="0096058B"/>
    <w:rsid w:val="00960806"/>
    <w:rsid w:val="00961458"/>
    <w:rsid w:val="009628AA"/>
    <w:rsid w:val="00962B54"/>
    <w:rsid w:val="00965AA9"/>
    <w:rsid w:val="00967279"/>
    <w:rsid w:val="009673D9"/>
    <w:rsid w:val="00971E01"/>
    <w:rsid w:val="009753C8"/>
    <w:rsid w:val="00976DE0"/>
    <w:rsid w:val="00976F56"/>
    <w:rsid w:val="00976FA2"/>
    <w:rsid w:val="00977889"/>
    <w:rsid w:val="0098043B"/>
    <w:rsid w:val="0098058D"/>
    <w:rsid w:val="009815F3"/>
    <w:rsid w:val="00981D2F"/>
    <w:rsid w:val="00982A37"/>
    <w:rsid w:val="00982C23"/>
    <w:rsid w:val="00982FE8"/>
    <w:rsid w:val="00984E34"/>
    <w:rsid w:val="009851F4"/>
    <w:rsid w:val="009860CE"/>
    <w:rsid w:val="0098615C"/>
    <w:rsid w:val="00986204"/>
    <w:rsid w:val="0099043A"/>
    <w:rsid w:val="00991AFA"/>
    <w:rsid w:val="00991D6C"/>
    <w:rsid w:val="00993397"/>
    <w:rsid w:val="00993BCF"/>
    <w:rsid w:val="00993E11"/>
    <w:rsid w:val="00994999"/>
    <w:rsid w:val="00995730"/>
    <w:rsid w:val="00996350"/>
    <w:rsid w:val="00996589"/>
    <w:rsid w:val="009A0096"/>
    <w:rsid w:val="009A021A"/>
    <w:rsid w:val="009A0712"/>
    <w:rsid w:val="009A07E0"/>
    <w:rsid w:val="009A0D8F"/>
    <w:rsid w:val="009A13CC"/>
    <w:rsid w:val="009A1C7E"/>
    <w:rsid w:val="009A1CF3"/>
    <w:rsid w:val="009A42B9"/>
    <w:rsid w:val="009A69FA"/>
    <w:rsid w:val="009A6CB1"/>
    <w:rsid w:val="009A7EBC"/>
    <w:rsid w:val="009B0713"/>
    <w:rsid w:val="009B08D9"/>
    <w:rsid w:val="009B0BC5"/>
    <w:rsid w:val="009B0EFE"/>
    <w:rsid w:val="009B172D"/>
    <w:rsid w:val="009B2126"/>
    <w:rsid w:val="009B238D"/>
    <w:rsid w:val="009B282E"/>
    <w:rsid w:val="009B2A02"/>
    <w:rsid w:val="009B310A"/>
    <w:rsid w:val="009B33FB"/>
    <w:rsid w:val="009B37E8"/>
    <w:rsid w:val="009B407C"/>
    <w:rsid w:val="009B41A6"/>
    <w:rsid w:val="009B44FB"/>
    <w:rsid w:val="009B79AD"/>
    <w:rsid w:val="009B7CB6"/>
    <w:rsid w:val="009C0A78"/>
    <w:rsid w:val="009C0AE9"/>
    <w:rsid w:val="009C1079"/>
    <w:rsid w:val="009C16F4"/>
    <w:rsid w:val="009C318A"/>
    <w:rsid w:val="009C4000"/>
    <w:rsid w:val="009C5140"/>
    <w:rsid w:val="009C5AC4"/>
    <w:rsid w:val="009C5E9D"/>
    <w:rsid w:val="009C621F"/>
    <w:rsid w:val="009C732B"/>
    <w:rsid w:val="009D0972"/>
    <w:rsid w:val="009D0A78"/>
    <w:rsid w:val="009D12E0"/>
    <w:rsid w:val="009D291E"/>
    <w:rsid w:val="009D2C00"/>
    <w:rsid w:val="009D394C"/>
    <w:rsid w:val="009D40C1"/>
    <w:rsid w:val="009D477A"/>
    <w:rsid w:val="009D4E6F"/>
    <w:rsid w:val="009D5CFF"/>
    <w:rsid w:val="009D6131"/>
    <w:rsid w:val="009D63E8"/>
    <w:rsid w:val="009D6867"/>
    <w:rsid w:val="009E06A7"/>
    <w:rsid w:val="009E0A35"/>
    <w:rsid w:val="009E10F3"/>
    <w:rsid w:val="009E1346"/>
    <w:rsid w:val="009E1457"/>
    <w:rsid w:val="009E167D"/>
    <w:rsid w:val="009E3305"/>
    <w:rsid w:val="009E3BB5"/>
    <w:rsid w:val="009E428A"/>
    <w:rsid w:val="009E4650"/>
    <w:rsid w:val="009E64D1"/>
    <w:rsid w:val="009F0338"/>
    <w:rsid w:val="009F0E14"/>
    <w:rsid w:val="009F169E"/>
    <w:rsid w:val="009F1761"/>
    <w:rsid w:val="009F3C48"/>
    <w:rsid w:val="009F5406"/>
    <w:rsid w:val="009F6FF7"/>
    <w:rsid w:val="009F7627"/>
    <w:rsid w:val="009F7A56"/>
    <w:rsid w:val="009F7BA6"/>
    <w:rsid w:val="00A00BBB"/>
    <w:rsid w:val="00A01D9E"/>
    <w:rsid w:val="00A021CE"/>
    <w:rsid w:val="00A027AD"/>
    <w:rsid w:val="00A02C77"/>
    <w:rsid w:val="00A036DF"/>
    <w:rsid w:val="00A03D0F"/>
    <w:rsid w:val="00A046EA"/>
    <w:rsid w:val="00A04DF4"/>
    <w:rsid w:val="00A05379"/>
    <w:rsid w:val="00A05DF6"/>
    <w:rsid w:val="00A06F0E"/>
    <w:rsid w:val="00A073F2"/>
    <w:rsid w:val="00A10E89"/>
    <w:rsid w:val="00A131E9"/>
    <w:rsid w:val="00A137E6"/>
    <w:rsid w:val="00A13B55"/>
    <w:rsid w:val="00A149DA"/>
    <w:rsid w:val="00A15278"/>
    <w:rsid w:val="00A15D93"/>
    <w:rsid w:val="00A176C2"/>
    <w:rsid w:val="00A204ED"/>
    <w:rsid w:val="00A212F7"/>
    <w:rsid w:val="00A2244E"/>
    <w:rsid w:val="00A2280C"/>
    <w:rsid w:val="00A22FE9"/>
    <w:rsid w:val="00A24EB7"/>
    <w:rsid w:val="00A25E71"/>
    <w:rsid w:val="00A25E8B"/>
    <w:rsid w:val="00A25EF9"/>
    <w:rsid w:val="00A25F0D"/>
    <w:rsid w:val="00A2607A"/>
    <w:rsid w:val="00A260C5"/>
    <w:rsid w:val="00A267C2"/>
    <w:rsid w:val="00A26A5D"/>
    <w:rsid w:val="00A273F7"/>
    <w:rsid w:val="00A27694"/>
    <w:rsid w:val="00A3071B"/>
    <w:rsid w:val="00A3087E"/>
    <w:rsid w:val="00A30AD8"/>
    <w:rsid w:val="00A30BAC"/>
    <w:rsid w:val="00A30CAD"/>
    <w:rsid w:val="00A30D62"/>
    <w:rsid w:val="00A335DE"/>
    <w:rsid w:val="00A336C8"/>
    <w:rsid w:val="00A33B15"/>
    <w:rsid w:val="00A34538"/>
    <w:rsid w:val="00A34B5E"/>
    <w:rsid w:val="00A35757"/>
    <w:rsid w:val="00A36275"/>
    <w:rsid w:val="00A37841"/>
    <w:rsid w:val="00A40025"/>
    <w:rsid w:val="00A40710"/>
    <w:rsid w:val="00A40A34"/>
    <w:rsid w:val="00A4144E"/>
    <w:rsid w:val="00A426AE"/>
    <w:rsid w:val="00A4299E"/>
    <w:rsid w:val="00A431E3"/>
    <w:rsid w:val="00A43A67"/>
    <w:rsid w:val="00A4552D"/>
    <w:rsid w:val="00A4590D"/>
    <w:rsid w:val="00A46DCD"/>
    <w:rsid w:val="00A51238"/>
    <w:rsid w:val="00A5135D"/>
    <w:rsid w:val="00A51D7C"/>
    <w:rsid w:val="00A543EA"/>
    <w:rsid w:val="00A544FF"/>
    <w:rsid w:val="00A5454A"/>
    <w:rsid w:val="00A547E7"/>
    <w:rsid w:val="00A54C68"/>
    <w:rsid w:val="00A57CB2"/>
    <w:rsid w:val="00A6135C"/>
    <w:rsid w:val="00A614FE"/>
    <w:rsid w:val="00A62201"/>
    <w:rsid w:val="00A62F05"/>
    <w:rsid w:val="00A642DD"/>
    <w:rsid w:val="00A64309"/>
    <w:rsid w:val="00A6434C"/>
    <w:rsid w:val="00A6454E"/>
    <w:rsid w:val="00A64D81"/>
    <w:rsid w:val="00A66A79"/>
    <w:rsid w:val="00A66FB6"/>
    <w:rsid w:val="00A67097"/>
    <w:rsid w:val="00A672DB"/>
    <w:rsid w:val="00A67663"/>
    <w:rsid w:val="00A67E30"/>
    <w:rsid w:val="00A7141D"/>
    <w:rsid w:val="00A716A9"/>
    <w:rsid w:val="00A71CB1"/>
    <w:rsid w:val="00A727AA"/>
    <w:rsid w:val="00A72928"/>
    <w:rsid w:val="00A76EB0"/>
    <w:rsid w:val="00A777FB"/>
    <w:rsid w:val="00A80EBB"/>
    <w:rsid w:val="00A81E6E"/>
    <w:rsid w:val="00A82AC1"/>
    <w:rsid w:val="00A82CB9"/>
    <w:rsid w:val="00A835D8"/>
    <w:rsid w:val="00A8378A"/>
    <w:rsid w:val="00A8436D"/>
    <w:rsid w:val="00A8520F"/>
    <w:rsid w:val="00A85310"/>
    <w:rsid w:val="00A864B5"/>
    <w:rsid w:val="00A866D0"/>
    <w:rsid w:val="00A867D3"/>
    <w:rsid w:val="00A87CC4"/>
    <w:rsid w:val="00A9048B"/>
    <w:rsid w:val="00A90721"/>
    <w:rsid w:val="00A9174B"/>
    <w:rsid w:val="00A92961"/>
    <w:rsid w:val="00A92BA0"/>
    <w:rsid w:val="00A93564"/>
    <w:rsid w:val="00A93645"/>
    <w:rsid w:val="00A93915"/>
    <w:rsid w:val="00A946C7"/>
    <w:rsid w:val="00A94E27"/>
    <w:rsid w:val="00A95C24"/>
    <w:rsid w:val="00A96021"/>
    <w:rsid w:val="00A96D58"/>
    <w:rsid w:val="00A9763A"/>
    <w:rsid w:val="00AA043D"/>
    <w:rsid w:val="00AA062D"/>
    <w:rsid w:val="00AA08B9"/>
    <w:rsid w:val="00AA1697"/>
    <w:rsid w:val="00AA1A72"/>
    <w:rsid w:val="00AA216F"/>
    <w:rsid w:val="00AA3EAF"/>
    <w:rsid w:val="00AA4135"/>
    <w:rsid w:val="00AA473C"/>
    <w:rsid w:val="00AA49EC"/>
    <w:rsid w:val="00AA4A0D"/>
    <w:rsid w:val="00AA521A"/>
    <w:rsid w:val="00AA5242"/>
    <w:rsid w:val="00AA5793"/>
    <w:rsid w:val="00AA7633"/>
    <w:rsid w:val="00AA7E23"/>
    <w:rsid w:val="00AB0325"/>
    <w:rsid w:val="00AB0D52"/>
    <w:rsid w:val="00AB1267"/>
    <w:rsid w:val="00AB1985"/>
    <w:rsid w:val="00AB1D64"/>
    <w:rsid w:val="00AB2521"/>
    <w:rsid w:val="00AB3B78"/>
    <w:rsid w:val="00AB3D24"/>
    <w:rsid w:val="00AB428F"/>
    <w:rsid w:val="00AB47DA"/>
    <w:rsid w:val="00AB5969"/>
    <w:rsid w:val="00AB6052"/>
    <w:rsid w:val="00AB77B4"/>
    <w:rsid w:val="00AC047A"/>
    <w:rsid w:val="00AC0E96"/>
    <w:rsid w:val="00AC1FCE"/>
    <w:rsid w:val="00AC24D2"/>
    <w:rsid w:val="00AC2F33"/>
    <w:rsid w:val="00AC320A"/>
    <w:rsid w:val="00AC4283"/>
    <w:rsid w:val="00AC5370"/>
    <w:rsid w:val="00AC5577"/>
    <w:rsid w:val="00AC5CA3"/>
    <w:rsid w:val="00AC6528"/>
    <w:rsid w:val="00AC66CE"/>
    <w:rsid w:val="00AC6D57"/>
    <w:rsid w:val="00AC7801"/>
    <w:rsid w:val="00AC7C88"/>
    <w:rsid w:val="00AD058E"/>
    <w:rsid w:val="00AD0738"/>
    <w:rsid w:val="00AD0FA6"/>
    <w:rsid w:val="00AD287E"/>
    <w:rsid w:val="00AD3407"/>
    <w:rsid w:val="00AD410B"/>
    <w:rsid w:val="00AD42DB"/>
    <w:rsid w:val="00AD43F7"/>
    <w:rsid w:val="00AD44A0"/>
    <w:rsid w:val="00AD5183"/>
    <w:rsid w:val="00AD60E2"/>
    <w:rsid w:val="00AD6989"/>
    <w:rsid w:val="00AD7027"/>
    <w:rsid w:val="00AD7698"/>
    <w:rsid w:val="00AD7C06"/>
    <w:rsid w:val="00AE0F64"/>
    <w:rsid w:val="00AE1D1D"/>
    <w:rsid w:val="00AE2C93"/>
    <w:rsid w:val="00AE4367"/>
    <w:rsid w:val="00AE49D1"/>
    <w:rsid w:val="00AE4DA7"/>
    <w:rsid w:val="00AE4E8B"/>
    <w:rsid w:val="00AE4F2C"/>
    <w:rsid w:val="00AE5315"/>
    <w:rsid w:val="00AE578E"/>
    <w:rsid w:val="00AE5EB8"/>
    <w:rsid w:val="00AE5F92"/>
    <w:rsid w:val="00AE65EE"/>
    <w:rsid w:val="00AE7258"/>
    <w:rsid w:val="00AE74DE"/>
    <w:rsid w:val="00AE7690"/>
    <w:rsid w:val="00AE7EBC"/>
    <w:rsid w:val="00AF1191"/>
    <w:rsid w:val="00AF190F"/>
    <w:rsid w:val="00AF195E"/>
    <w:rsid w:val="00AF1AAB"/>
    <w:rsid w:val="00AF241F"/>
    <w:rsid w:val="00AF3226"/>
    <w:rsid w:val="00AF3615"/>
    <w:rsid w:val="00AF3AD4"/>
    <w:rsid w:val="00AF4148"/>
    <w:rsid w:val="00AF5130"/>
    <w:rsid w:val="00AF65AD"/>
    <w:rsid w:val="00AF70D5"/>
    <w:rsid w:val="00AF745F"/>
    <w:rsid w:val="00B027AA"/>
    <w:rsid w:val="00B02A1D"/>
    <w:rsid w:val="00B04632"/>
    <w:rsid w:val="00B04C85"/>
    <w:rsid w:val="00B04ED2"/>
    <w:rsid w:val="00B05000"/>
    <w:rsid w:val="00B05848"/>
    <w:rsid w:val="00B06752"/>
    <w:rsid w:val="00B106E5"/>
    <w:rsid w:val="00B116D2"/>
    <w:rsid w:val="00B1188C"/>
    <w:rsid w:val="00B11CE2"/>
    <w:rsid w:val="00B122AC"/>
    <w:rsid w:val="00B124DF"/>
    <w:rsid w:val="00B13297"/>
    <w:rsid w:val="00B133E7"/>
    <w:rsid w:val="00B14837"/>
    <w:rsid w:val="00B14DB0"/>
    <w:rsid w:val="00B15C9D"/>
    <w:rsid w:val="00B1646A"/>
    <w:rsid w:val="00B20A71"/>
    <w:rsid w:val="00B20C84"/>
    <w:rsid w:val="00B20FCF"/>
    <w:rsid w:val="00B214CA"/>
    <w:rsid w:val="00B21ED6"/>
    <w:rsid w:val="00B22ABA"/>
    <w:rsid w:val="00B23013"/>
    <w:rsid w:val="00B232C8"/>
    <w:rsid w:val="00B24A55"/>
    <w:rsid w:val="00B25872"/>
    <w:rsid w:val="00B2605B"/>
    <w:rsid w:val="00B26449"/>
    <w:rsid w:val="00B2678B"/>
    <w:rsid w:val="00B27430"/>
    <w:rsid w:val="00B30003"/>
    <w:rsid w:val="00B30AF1"/>
    <w:rsid w:val="00B33A23"/>
    <w:rsid w:val="00B33A54"/>
    <w:rsid w:val="00B33B34"/>
    <w:rsid w:val="00B33BF3"/>
    <w:rsid w:val="00B33DC9"/>
    <w:rsid w:val="00B33FA2"/>
    <w:rsid w:val="00B3437B"/>
    <w:rsid w:val="00B350E3"/>
    <w:rsid w:val="00B35DAC"/>
    <w:rsid w:val="00B3639F"/>
    <w:rsid w:val="00B3669B"/>
    <w:rsid w:val="00B367B7"/>
    <w:rsid w:val="00B40686"/>
    <w:rsid w:val="00B41144"/>
    <w:rsid w:val="00B415C1"/>
    <w:rsid w:val="00B416B2"/>
    <w:rsid w:val="00B424FF"/>
    <w:rsid w:val="00B42D2B"/>
    <w:rsid w:val="00B4416C"/>
    <w:rsid w:val="00B447EB"/>
    <w:rsid w:val="00B45018"/>
    <w:rsid w:val="00B4538D"/>
    <w:rsid w:val="00B454D4"/>
    <w:rsid w:val="00B45A3F"/>
    <w:rsid w:val="00B45DF2"/>
    <w:rsid w:val="00B4606C"/>
    <w:rsid w:val="00B50AB0"/>
    <w:rsid w:val="00B511F8"/>
    <w:rsid w:val="00B51C70"/>
    <w:rsid w:val="00B5211F"/>
    <w:rsid w:val="00B52533"/>
    <w:rsid w:val="00B52BD4"/>
    <w:rsid w:val="00B52C43"/>
    <w:rsid w:val="00B53575"/>
    <w:rsid w:val="00B548B9"/>
    <w:rsid w:val="00B548E6"/>
    <w:rsid w:val="00B554E5"/>
    <w:rsid w:val="00B55927"/>
    <w:rsid w:val="00B55B8B"/>
    <w:rsid w:val="00B570C5"/>
    <w:rsid w:val="00B57729"/>
    <w:rsid w:val="00B603A8"/>
    <w:rsid w:val="00B6069E"/>
    <w:rsid w:val="00B60B46"/>
    <w:rsid w:val="00B617EE"/>
    <w:rsid w:val="00B61987"/>
    <w:rsid w:val="00B63D69"/>
    <w:rsid w:val="00B646FF"/>
    <w:rsid w:val="00B648CC"/>
    <w:rsid w:val="00B6531D"/>
    <w:rsid w:val="00B65A09"/>
    <w:rsid w:val="00B65C5D"/>
    <w:rsid w:val="00B65FDD"/>
    <w:rsid w:val="00B6667D"/>
    <w:rsid w:val="00B66A91"/>
    <w:rsid w:val="00B70DE2"/>
    <w:rsid w:val="00B7227C"/>
    <w:rsid w:val="00B73221"/>
    <w:rsid w:val="00B735D8"/>
    <w:rsid w:val="00B740B9"/>
    <w:rsid w:val="00B74B70"/>
    <w:rsid w:val="00B74CF6"/>
    <w:rsid w:val="00B753F4"/>
    <w:rsid w:val="00B75C36"/>
    <w:rsid w:val="00B80BEF"/>
    <w:rsid w:val="00B8259F"/>
    <w:rsid w:val="00B82CDC"/>
    <w:rsid w:val="00B82F9D"/>
    <w:rsid w:val="00B840C1"/>
    <w:rsid w:val="00B853F3"/>
    <w:rsid w:val="00B8583B"/>
    <w:rsid w:val="00B86FF2"/>
    <w:rsid w:val="00B87D60"/>
    <w:rsid w:val="00B90DA6"/>
    <w:rsid w:val="00B9111B"/>
    <w:rsid w:val="00B92F07"/>
    <w:rsid w:val="00B9344B"/>
    <w:rsid w:val="00B934F0"/>
    <w:rsid w:val="00B93571"/>
    <w:rsid w:val="00B93576"/>
    <w:rsid w:val="00B946DD"/>
    <w:rsid w:val="00B9534D"/>
    <w:rsid w:val="00B95483"/>
    <w:rsid w:val="00B9580C"/>
    <w:rsid w:val="00B95AAC"/>
    <w:rsid w:val="00B96268"/>
    <w:rsid w:val="00B96602"/>
    <w:rsid w:val="00B97115"/>
    <w:rsid w:val="00B978B4"/>
    <w:rsid w:val="00B97C1E"/>
    <w:rsid w:val="00B97C80"/>
    <w:rsid w:val="00BA0ED8"/>
    <w:rsid w:val="00BA16AB"/>
    <w:rsid w:val="00BA1D9C"/>
    <w:rsid w:val="00BA2CAE"/>
    <w:rsid w:val="00BA3053"/>
    <w:rsid w:val="00BA307F"/>
    <w:rsid w:val="00BA389C"/>
    <w:rsid w:val="00BA3E09"/>
    <w:rsid w:val="00BA4224"/>
    <w:rsid w:val="00BA44E6"/>
    <w:rsid w:val="00BA4B34"/>
    <w:rsid w:val="00BA4B5F"/>
    <w:rsid w:val="00BA534F"/>
    <w:rsid w:val="00BA5390"/>
    <w:rsid w:val="00BA55AC"/>
    <w:rsid w:val="00BA66DE"/>
    <w:rsid w:val="00BA7AD5"/>
    <w:rsid w:val="00BB0349"/>
    <w:rsid w:val="00BB0B72"/>
    <w:rsid w:val="00BB1F9F"/>
    <w:rsid w:val="00BB321A"/>
    <w:rsid w:val="00BB4E5D"/>
    <w:rsid w:val="00BB5811"/>
    <w:rsid w:val="00BB6F9F"/>
    <w:rsid w:val="00BB7211"/>
    <w:rsid w:val="00BB751E"/>
    <w:rsid w:val="00BB7B1C"/>
    <w:rsid w:val="00BC1BAD"/>
    <w:rsid w:val="00BC2040"/>
    <w:rsid w:val="00BC2367"/>
    <w:rsid w:val="00BC5E4F"/>
    <w:rsid w:val="00BC6317"/>
    <w:rsid w:val="00BC655B"/>
    <w:rsid w:val="00BC660B"/>
    <w:rsid w:val="00BC66D7"/>
    <w:rsid w:val="00BC72C3"/>
    <w:rsid w:val="00BC7F01"/>
    <w:rsid w:val="00BD0095"/>
    <w:rsid w:val="00BD0576"/>
    <w:rsid w:val="00BD18B4"/>
    <w:rsid w:val="00BD2AA8"/>
    <w:rsid w:val="00BD32A6"/>
    <w:rsid w:val="00BD3C18"/>
    <w:rsid w:val="00BD401D"/>
    <w:rsid w:val="00BD727A"/>
    <w:rsid w:val="00BD7838"/>
    <w:rsid w:val="00BD7CBE"/>
    <w:rsid w:val="00BE0235"/>
    <w:rsid w:val="00BE0594"/>
    <w:rsid w:val="00BE11C5"/>
    <w:rsid w:val="00BE20BF"/>
    <w:rsid w:val="00BE2431"/>
    <w:rsid w:val="00BE2757"/>
    <w:rsid w:val="00BE289E"/>
    <w:rsid w:val="00BE29DB"/>
    <w:rsid w:val="00BE2F20"/>
    <w:rsid w:val="00BE3287"/>
    <w:rsid w:val="00BE45CA"/>
    <w:rsid w:val="00BE4CC5"/>
    <w:rsid w:val="00BE4CCA"/>
    <w:rsid w:val="00BE7D31"/>
    <w:rsid w:val="00BF095E"/>
    <w:rsid w:val="00BF09C8"/>
    <w:rsid w:val="00BF0A85"/>
    <w:rsid w:val="00BF1454"/>
    <w:rsid w:val="00BF147A"/>
    <w:rsid w:val="00BF225F"/>
    <w:rsid w:val="00BF2618"/>
    <w:rsid w:val="00BF35E3"/>
    <w:rsid w:val="00BF4019"/>
    <w:rsid w:val="00BF444E"/>
    <w:rsid w:val="00BF45C1"/>
    <w:rsid w:val="00BF4E95"/>
    <w:rsid w:val="00BF5C57"/>
    <w:rsid w:val="00BF5DFC"/>
    <w:rsid w:val="00BF60A8"/>
    <w:rsid w:val="00BF6775"/>
    <w:rsid w:val="00BF6C76"/>
    <w:rsid w:val="00BF72CD"/>
    <w:rsid w:val="00BF7A19"/>
    <w:rsid w:val="00C011C2"/>
    <w:rsid w:val="00C019FE"/>
    <w:rsid w:val="00C025BB"/>
    <w:rsid w:val="00C02610"/>
    <w:rsid w:val="00C02F69"/>
    <w:rsid w:val="00C03CED"/>
    <w:rsid w:val="00C045F3"/>
    <w:rsid w:val="00C06DA4"/>
    <w:rsid w:val="00C0773F"/>
    <w:rsid w:val="00C1068F"/>
    <w:rsid w:val="00C10F14"/>
    <w:rsid w:val="00C12F8B"/>
    <w:rsid w:val="00C13533"/>
    <w:rsid w:val="00C13F54"/>
    <w:rsid w:val="00C13FA9"/>
    <w:rsid w:val="00C15B78"/>
    <w:rsid w:val="00C17918"/>
    <w:rsid w:val="00C179A2"/>
    <w:rsid w:val="00C22362"/>
    <w:rsid w:val="00C22B9E"/>
    <w:rsid w:val="00C232BA"/>
    <w:rsid w:val="00C236C6"/>
    <w:rsid w:val="00C23CC0"/>
    <w:rsid w:val="00C23E3A"/>
    <w:rsid w:val="00C23FB9"/>
    <w:rsid w:val="00C250C7"/>
    <w:rsid w:val="00C272AA"/>
    <w:rsid w:val="00C2781D"/>
    <w:rsid w:val="00C3008C"/>
    <w:rsid w:val="00C30133"/>
    <w:rsid w:val="00C32150"/>
    <w:rsid w:val="00C32882"/>
    <w:rsid w:val="00C33064"/>
    <w:rsid w:val="00C33097"/>
    <w:rsid w:val="00C3610B"/>
    <w:rsid w:val="00C37A54"/>
    <w:rsid w:val="00C406B5"/>
    <w:rsid w:val="00C40702"/>
    <w:rsid w:val="00C41702"/>
    <w:rsid w:val="00C41E72"/>
    <w:rsid w:val="00C431FA"/>
    <w:rsid w:val="00C43D8B"/>
    <w:rsid w:val="00C45210"/>
    <w:rsid w:val="00C4650E"/>
    <w:rsid w:val="00C46C35"/>
    <w:rsid w:val="00C46F62"/>
    <w:rsid w:val="00C4763D"/>
    <w:rsid w:val="00C50942"/>
    <w:rsid w:val="00C51568"/>
    <w:rsid w:val="00C516EC"/>
    <w:rsid w:val="00C51D0D"/>
    <w:rsid w:val="00C51E49"/>
    <w:rsid w:val="00C52649"/>
    <w:rsid w:val="00C52A95"/>
    <w:rsid w:val="00C52C8F"/>
    <w:rsid w:val="00C536C8"/>
    <w:rsid w:val="00C53B01"/>
    <w:rsid w:val="00C5434D"/>
    <w:rsid w:val="00C544F4"/>
    <w:rsid w:val="00C548B6"/>
    <w:rsid w:val="00C54B25"/>
    <w:rsid w:val="00C54BED"/>
    <w:rsid w:val="00C5595C"/>
    <w:rsid w:val="00C55CDB"/>
    <w:rsid w:val="00C56D55"/>
    <w:rsid w:val="00C573DE"/>
    <w:rsid w:val="00C6073A"/>
    <w:rsid w:val="00C60BF9"/>
    <w:rsid w:val="00C6157D"/>
    <w:rsid w:val="00C61772"/>
    <w:rsid w:val="00C62AE8"/>
    <w:rsid w:val="00C6321A"/>
    <w:rsid w:val="00C63255"/>
    <w:rsid w:val="00C63C47"/>
    <w:rsid w:val="00C6496E"/>
    <w:rsid w:val="00C653CB"/>
    <w:rsid w:val="00C65D55"/>
    <w:rsid w:val="00C66576"/>
    <w:rsid w:val="00C67A0D"/>
    <w:rsid w:val="00C7071F"/>
    <w:rsid w:val="00C7216F"/>
    <w:rsid w:val="00C72A6A"/>
    <w:rsid w:val="00C73031"/>
    <w:rsid w:val="00C7362D"/>
    <w:rsid w:val="00C74010"/>
    <w:rsid w:val="00C74242"/>
    <w:rsid w:val="00C74C2E"/>
    <w:rsid w:val="00C752BF"/>
    <w:rsid w:val="00C75321"/>
    <w:rsid w:val="00C75962"/>
    <w:rsid w:val="00C75C6C"/>
    <w:rsid w:val="00C75D38"/>
    <w:rsid w:val="00C76CEF"/>
    <w:rsid w:val="00C77011"/>
    <w:rsid w:val="00C8019E"/>
    <w:rsid w:val="00C80A93"/>
    <w:rsid w:val="00C80D05"/>
    <w:rsid w:val="00C82C2D"/>
    <w:rsid w:val="00C82EBB"/>
    <w:rsid w:val="00C833ED"/>
    <w:rsid w:val="00C8394F"/>
    <w:rsid w:val="00C849CE"/>
    <w:rsid w:val="00C85CF7"/>
    <w:rsid w:val="00C87124"/>
    <w:rsid w:val="00C872A9"/>
    <w:rsid w:val="00C87673"/>
    <w:rsid w:val="00C87B19"/>
    <w:rsid w:val="00C9069F"/>
    <w:rsid w:val="00C906A6"/>
    <w:rsid w:val="00C907D2"/>
    <w:rsid w:val="00C92B13"/>
    <w:rsid w:val="00C93C41"/>
    <w:rsid w:val="00C94036"/>
    <w:rsid w:val="00C95FE6"/>
    <w:rsid w:val="00C96FB6"/>
    <w:rsid w:val="00C9714B"/>
    <w:rsid w:val="00CA018A"/>
    <w:rsid w:val="00CA1176"/>
    <w:rsid w:val="00CA11A1"/>
    <w:rsid w:val="00CA14C1"/>
    <w:rsid w:val="00CA1AA3"/>
    <w:rsid w:val="00CA32FD"/>
    <w:rsid w:val="00CA38F0"/>
    <w:rsid w:val="00CA3C8A"/>
    <w:rsid w:val="00CA4F12"/>
    <w:rsid w:val="00CA6961"/>
    <w:rsid w:val="00CA7508"/>
    <w:rsid w:val="00CB0FDB"/>
    <w:rsid w:val="00CB2065"/>
    <w:rsid w:val="00CB25A6"/>
    <w:rsid w:val="00CB336D"/>
    <w:rsid w:val="00CB3395"/>
    <w:rsid w:val="00CB4359"/>
    <w:rsid w:val="00CB4A60"/>
    <w:rsid w:val="00CB59DF"/>
    <w:rsid w:val="00CB65AD"/>
    <w:rsid w:val="00CB79E2"/>
    <w:rsid w:val="00CB7C2C"/>
    <w:rsid w:val="00CC04C8"/>
    <w:rsid w:val="00CC0DB2"/>
    <w:rsid w:val="00CC1066"/>
    <w:rsid w:val="00CC156C"/>
    <w:rsid w:val="00CC1EEC"/>
    <w:rsid w:val="00CC1FB3"/>
    <w:rsid w:val="00CC35FB"/>
    <w:rsid w:val="00CC3F55"/>
    <w:rsid w:val="00CC4681"/>
    <w:rsid w:val="00CC4C43"/>
    <w:rsid w:val="00CC652E"/>
    <w:rsid w:val="00CC66C8"/>
    <w:rsid w:val="00CC675F"/>
    <w:rsid w:val="00CD02B5"/>
    <w:rsid w:val="00CD03F9"/>
    <w:rsid w:val="00CD0839"/>
    <w:rsid w:val="00CD187C"/>
    <w:rsid w:val="00CD341E"/>
    <w:rsid w:val="00CD349B"/>
    <w:rsid w:val="00CD3D42"/>
    <w:rsid w:val="00CD5257"/>
    <w:rsid w:val="00CD65DA"/>
    <w:rsid w:val="00CD69A2"/>
    <w:rsid w:val="00CD6F1E"/>
    <w:rsid w:val="00CD7884"/>
    <w:rsid w:val="00CE04E2"/>
    <w:rsid w:val="00CE42E8"/>
    <w:rsid w:val="00CE46AA"/>
    <w:rsid w:val="00CE47CC"/>
    <w:rsid w:val="00CE7462"/>
    <w:rsid w:val="00CE7590"/>
    <w:rsid w:val="00CE77B6"/>
    <w:rsid w:val="00CF03E4"/>
    <w:rsid w:val="00CF06EC"/>
    <w:rsid w:val="00CF1539"/>
    <w:rsid w:val="00CF1866"/>
    <w:rsid w:val="00CF18A0"/>
    <w:rsid w:val="00CF1A06"/>
    <w:rsid w:val="00CF32CF"/>
    <w:rsid w:val="00CF469B"/>
    <w:rsid w:val="00CF49B9"/>
    <w:rsid w:val="00CF49BD"/>
    <w:rsid w:val="00CF4F3C"/>
    <w:rsid w:val="00CF54FD"/>
    <w:rsid w:val="00CF64E2"/>
    <w:rsid w:val="00CF7020"/>
    <w:rsid w:val="00D0057A"/>
    <w:rsid w:val="00D00606"/>
    <w:rsid w:val="00D00D12"/>
    <w:rsid w:val="00D01B91"/>
    <w:rsid w:val="00D01DBE"/>
    <w:rsid w:val="00D02617"/>
    <w:rsid w:val="00D033FA"/>
    <w:rsid w:val="00D0484A"/>
    <w:rsid w:val="00D04B7F"/>
    <w:rsid w:val="00D068D1"/>
    <w:rsid w:val="00D07E59"/>
    <w:rsid w:val="00D102E3"/>
    <w:rsid w:val="00D11106"/>
    <w:rsid w:val="00D120B4"/>
    <w:rsid w:val="00D12215"/>
    <w:rsid w:val="00D12399"/>
    <w:rsid w:val="00D12C92"/>
    <w:rsid w:val="00D12FD6"/>
    <w:rsid w:val="00D12FD8"/>
    <w:rsid w:val="00D1488F"/>
    <w:rsid w:val="00D14C5A"/>
    <w:rsid w:val="00D15567"/>
    <w:rsid w:val="00D16ACA"/>
    <w:rsid w:val="00D17403"/>
    <w:rsid w:val="00D209A1"/>
    <w:rsid w:val="00D217A2"/>
    <w:rsid w:val="00D22337"/>
    <w:rsid w:val="00D22685"/>
    <w:rsid w:val="00D22CD8"/>
    <w:rsid w:val="00D24FAF"/>
    <w:rsid w:val="00D25FF3"/>
    <w:rsid w:val="00D263CA"/>
    <w:rsid w:val="00D27BAA"/>
    <w:rsid w:val="00D3003B"/>
    <w:rsid w:val="00D3014F"/>
    <w:rsid w:val="00D31E8D"/>
    <w:rsid w:val="00D334D4"/>
    <w:rsid w:val="00D33CEF"/>
    <w:rsid w:val="00D344AA"/>
    <w:rsid w:val="00D347E6"/>
    <w:rsid w:val="00D40B0C"/>
    <w:rsid w:val="00D40B15"/>
    <w:rsid w:val="00D40E06"/>
    <w:rsid w:val="00D4123D"/>
    <w:rsid w:val="00D41F87"/>
    <w:rsid w:val="00D43352"/>
    <w:rsid w:val="00D434E2"/>
    <w:rsid w:val="00D43A22"/>
    <w:rsid w:val="00D440CC"/>
    <w:rsid w:val="00D44F27"/>
    <w:rsid w:val="00D45B09"/>
    <w:rsid w:val="00D45D3C"/>
    <w:rsid w:val="00D46250"/>
    <w:rsid w:val="00D46BFD"/>
    <w:rsid w:val="00D47FF8"/>
    <w:rsid w:val="00D5069B"/>
    <w:rsid w:val="00D52148"/>
    <w:rsid w:val="00D522C8"/>
    <w:rsid w:val="00D5422C"/>
    <w:rsid w:val="00D559EE"/>
    <w:rsid w:val="00D566F2"/>
    <w:rsid w:val="00D574DB"/>
    <w:rsid w:val="00D57A1E"/>
    <w:rsid w:val="00D600DA"/>
    <w:rsid w:val="00D60505"/>
    <w:rsid w:val="00D609DC"/>
    <w:rsid w:val="00D60A22"/>
    <w:rsid w:val="00D60B23"/>
    <w:rsid w:val="00D61589"/>
    <w:rsid w:val="00D61D25"/>
    <w:rsid w:val="00D629B6"/>
    <w:rsid w:val="00D63389"/>
    <w:rsid w:val="00D634A3"/>
    <w:rsid w:val="00D6378B"/>
    <w:rsid w:val="00D63CC7"/>
    <w:rsid w:val="00D64F79"/>
    <w:rsid w:val="00D6599D"/>
    <w:rsid w:val="00D66291"/>
    <w:rsid w:val="00D66EC8"/>
    <w:rsid w:val="00D7058F"/>
    <w:rsid w:val="00D71085"/>
    <w:rsid w:val="00D7230B"/>
    <w:rsid w:val="00D73641"/>
    <w:rsid w:val="00D73F06"/>
    <w:rsid w:val="00D74C8E"/>
    <w:rsid w:val="00D751F2"/>
    <w:rsid w:val="00D75A2E"/>
    <w:rsid w:val="00D76978"/>
    <w:rsid w:val="00D82DCF"/>
    <w:rsid w:val="00D836E6"/>
    <w:rsid w:val="00D837C3"/>
    <w:rsid w:val="00D8389A"/>
    <w:rsid w:val="00D85087"/>
    <w:rsid w:val="00D85888"/>
    <w:rsid w:val="00D8605F"/>
    <w:rsid w:val="00D8783C"/>
    <w:rsid w:val="00D91576"/>
    <w:rsid w:val="00D92160"/>
    <w:rsid w:val="00D923DF"/>
    <w:rsid w:val="00D930B2"/>
    <w:rsid w:val="00D93A1D"/>
    <w:rsid w:val="00D93A88"/>
    <w:rsid w:val="00D94D06"/>
    <w:rsid w:val="00D96012"/>
    <w:rsid w:val="00D9613C"/>
    <w:rsid w:val="00D96492"/>
    <w:rsid w:val="00D96B5D"/>
    <w:rsid w:val="00D97106"/>
    <w:rsid w:val="00DA0120"/>
    <w:rsid w:val="00DA1688"/>
    <w:rsid w:val="00DA1DAD"/>
    <w:rsid w:val="00DA283E"/>
    <w:rsid w:val="00DA3C33"/>
    <w:rsid w:val="00DA428C"/>
    <w:rsid w:val="00DA4330"/>
    <w:rsid w:val="00DA597F"/>
    <w:rsid w:val="00DA5EBB"/>
    <w:rsid w:val="00DA6931"/>
    <w:rsid w:val="00DA6AC0"/>
    <w:rsid w:val="00DA711E"/>
    <w:rsid w:val="00DB03F2"/>
    <w:rsid w:val="00DB0441"/>
    <w:rsid w:val="00DB0973"/>
    <w:rsid w:val="00DB1505"/>
    <w:rsid w:val="00DB1F32"/>
    <w:rsid w:val="00DB2164"/>
    <w:rsid w:val="00DB2801"/>
    <w:rsid w:val="00DB29AD"/>
    <w:rsid w:val="00DB31E2"/>
    <w:rsid w:val="00DB4EEE"/>
    <w:rsid w:val="00DB6A3E"/>
    <w:rsid w:val="00DB7585"/>
    <w:rsid w:val="00DB7ADE"/>
    <w:rsid w:val="00DB7EA7"/>
    <w:rsid w:val="00DB7FB1"/>
    <w:rsid w:val="00DC0B48"/>
    <w:rsid w:val="00DC0F74"/>
    <w:rsid w:val="00DC15AD"/>
    <w:rsid w:val="00DC1F88"/>
    <w:rsid w:val="00DC289D"/>
    <w:rsid w:val="00DC55F4"/>
    <w:rsid w:val="00DC6291"/>
    <w:rsid w:val="00DC6F11"/>
    <w:rsid w:val="00DC71D4"/>
    <w:rsid w:val="00DC7B40"/>
    <w:rsid w:val="00DD0299"/>
    <w:rsid w:val="00DD040B"/>
    <w:rsid w:val="00DD1195"/>
    <w:rsid w:val="00DD1DF6"/>
    <w:rsid w:val="00DD257F"/>
    <w:rsid w:val="00DD25F2"/>
    <w:rsid w:val="00DD3D51"/>
    <w:rsid w:val="00DD436A"/>
    <w:rsid w:val="00DD46C2"/>
    <w:rsid w:val="00DD6844"/>
    <w:rsid w:val="00DE0F97"/>
    <w:rsid w:val="00DE129C"/>
    <w:rsid w:val="00DE190E"/>
    <w:rsid w:val="00DE2B50"/>
    <w:rsid w:val="00DE2ED9"/>
    <w:rsid w:val="00DE30A0"/>
    <w:rsid w:val="00DE3767"/>
    <w:rsid w:val="00DE3962"/>
    <w:rsid w:val="00DE40EA"/>
    <w:rsid w:val="00DE41B2"/>
    <w:rsid w:val="00DE4346"/>
    <w:rsid w:val="00DE4360"/>
    <w:rsid w:val="00DE4DD4"/>
    <w:rsid w:val="00DE4F0A"/>
    <w:rsid w:val="00DF01BA"/>
    <w:rsid w:val="00DF0C83"/>
    <w:rsid w:val="00DF24AA"/>
    <w:rsid w:val="00DF3056"/>
    <w:rsid w:val="00DF3D12"/>
    <w:rsid w:val="00DF5D56"/>
    <w:rsid w:val="00DF6232"/>
    <w:rsid w:val="00DF75D3"/>
    <w:rsid w:val="00DF7C2F"/>
    <w:rsid w:val="00E01841"/>
    <w:rsid w:val="00E01C49"/>
    <w:rsid w:val="00E02762"/>
    <w:rsid w:val="00E02AE4"/>
    <w:rsid w:val="00E02E3E"/>
    <w:rsid w:val="00E03F51"/>
    <w:rsid w:val="00E06D4C"/>
    <w:rsid w:val="00E06F43"/>
    <w:rsid w:val="00E10034"/>
    <w:rsid w:val="00E10E1D"/>
    <w:rsid w:val="00E11040"/>
    <w:rsid w:val="00E1193B"/>
    <w:rsid w:val="00E11B0E"/>
    <w:rsid w:val="00E11F26"/>
    <w:rsid w:val="00E1207E"/>
    <w:rsid w:val="00E1214C"/>
    <w:rsid w:val="00E1225D"/>
    <w:rsid w:val="00E125C1"/>
    <w:rsid w:val="00E12626"/>
    <w:rsid w:val="00E1486C"/>
    <w:rsid w:val="00E1540D"/>
    <w:rsid w:val="00E1757A"/>
    <w:rsid w:val="00E17E37"/>
    <w:rsid w:val="00E20B21"/>
    <w:rsid w:val="00E20C89"/>
    <w:rsid w:val="00E20E65"/>
    <w:rsid w:val="00E2111A"/>
    <w:rsid w:val="00E21440"/>
    <w:rsid w:val="00E217E6"/>
    <w:rsid w:val="00E2198C"/>
    <w:rsid w:val="00E21C70"/>
    <w:rsid w:val="00E22B81"/>
    <w:rsid w:val="00E23681"/>
    <w:rsid w:val="00E23E1C"/>
    <w:rsid w:val="00E240B5"/>
    <w:rsid w:val="00E26B20"/>
    <w:rsid w:val="00E31624"/>
    <w:rsid w:val="00E31764"/>
    <w:rsid w:val="00E3189C"/>
    <w:rsid w:val="00E325E3"/>
    <w:rsid w:val="00E32B6E"/>
    <w:rsid w:val="00E33006"/>
    <w:rsid w:val="00E33C20"/>
    <w:rsid w:val="00E34F95"/>
    <w:rsid w:val="00E365C3"/>
    <w:rsid w:val="00E41625"/>
    <w:rsid w:val="00E425A4"/>
    <w:rsid w:val="00E42A1A"/>
    <w:rsid w:val="00E45210"/>
    <w:rsid w:val="00E46FD4"/>
    <w:rsid w:val="00E478C0"/>
    <w:rsid w:val="00E47A23"/>
    <w:rsid w:val="00E47A95"/>
    <w:rsid w:val="00E50BD3"/>
    <w:rsid w:val="00E5139C"/>
    <w:rsid w:val="00E5167A"/>
    <w:rsid w:val="00E519C9"/>
    <w:rsid w:val="00E52757"/>
    <w:rsid w:val="00E531E9"/>
    <w:rsid w:val="00E5326E"/>
    <w:rsid w:val="00E5365B"/>
    <w:rsid w:val="00E536A5"/>
    <w:rsid w:val="00E53847"/>
    <w:rsid w:val="00E5407A"/>
    <w:rsid w:val="00E54500"/>
    <w:rsid w:val="00E547DC"/>
    <w:rsid w:val="00E548AB"/>
    <w:rsid w:val="00E549D2"/>
    <w:rsid w:val="00E54F6E"/>
    <w:rsid w:val="00E55081"/>
    <w:rsid w:val="00E55643"/>
    <w:rsid w:val="00E5572E"/>
    <w:rsid w:val="00E563BC"/>
    <w:rsid w:val="00E56D42"/>
    <w:rsid w:val="00E56FAE"/>
    <w:rsid w:val="00E57255"/>
    <w:rsid w:val="00E57926"/>
    <w:rsid w:val="00E6004C"/>
    <w:rsid w:val="00E61158"/>
    <w:rsid w:val="00E61280"/>
    <w:rsid w:val="00E61852"/>
    <w:rsid w:val="00E61A91"/>
    <w:rsid w:val="00E628A5"/>
    <w:rsid w:val="00E635C3"/>
    <w:rsid w:val="00E64214"/>
    <w:rsid w:val="00E64FB5"/>
    <w:rsid w:val="00E65ACA"/>
    <w:rsid w:val="00E6773D"/>
    <w:rsid w:val="00E70809"/>
    <w:rsid w:val="00E70E1B"/>
    <w:rsid w:val="00E720B9"/>
    <w:rsid w:val="00E72970"/>
    <w:rsid w:val="00E72DE4"/>
    <w:rsid w:val="00E734D0"/>
    <w:rsid w:val="00E74A52"/>
    <w:rsid w:val="00E75837"/>
    <w:rsid w:val="00E75AC2"/>
    <w:rsid w:val="00E75F57"/>
    <w:rsid w:val="00E76A53"/>
    <w:rsid w:val="00E7738D"/>
    <w:rsid w:val="00E775A8"/>
    <w:rsid w:val="00E80609"/>
    <w:rsid w:val="00E80703"/>
    <w:rsid w:val="00E8092E"/>
    <w:rsid w:val="00E80959"/>
    <w:rsid w:val="00E80D16"/>
    <w:rsid w:val="00E80E2D"/>
    <w:rsid w:val="00E81863"/>
    <w:rsid w:val="00E82ABB"/>
    <w:rsid w:val="00E82B61"/>
    <w:rsid w:val="00E82CB5"/>
    <w:rsid w:val="00E82F0B"/>
    <w:rsid w:val="00E83EE9"/>
    <w:rsid w:val="00E841E5"/>
    <w:rsid w:val="00E85455"/>
    <w:rsid w:val="00E85C9F"/>
    <w:rsid w:val="00E86C69"/>
    <w:rsid w:val="00E86D7D"/>
    <w:rsid w:val="00E876E5"/>
    <w:rsid w:val="00E87955"/>
    <w:rsid w:val="00E9028B"/>
    <w:rsid w:val="00E90CD7"/>
    <w:rsid w:val="00E90F93"/>
    <w:rsid w:val="00E91AC7"/>
    <w:rsid w:val="00E91F3A"/>
    <w:rsid w:val="00E923FE"/>
    <w:rsid w:val="00E92516"/>
    <w:rsid w:val="00E92D36"/>
    <w:rsid w:val="00E93049"/>
    <w:rsid w:val="00E9483B"/>
    <w:rsid w:val="00E94A19"/>
    <w:rsid w:val="00E94ED5"/>
    <w:rsid w:val="00E950A1"/>
    <w:rsid w:val="00E950B0"/>
    <w:rsid w:val="00E956F0"/>
    <w:rsid w:val="00E959B4"/>
    <w:rsid w:val="00E95C4B"/>
    <w:rsid w:val="00E9675C"/>
    <w:rsid w:val="00E969CF"/>
    <w:rsid w:val="00E97495"/>
    <w:rsid w:val="00EA0F75"/>
    <w:rsid w:val="00EA18D8"/>
    <w:rsid w:val="00EA2EF3"/>
    <w:rsid w:val="00EA3DB3"/>
    <w:rsid w:val="00EA449E"/>
    <w:rsid w:val="00EA4BAA"/>
    <w:rsid w:val="00EA5CB6"/>
    <w:rsid w:val="00EA5F02"/>
    <w:rsid w:val="00EA706E"/>
    <w:rsid w:val="00EB0618"/>
    <w:rsid w:val="00EB1D0C"/>
    <w:rsid w:val="00EB3204"/>
    <w:rsid w:val="00EB3662"/>
    <w:rsid w:val="00EB3702"/>
    <w:rsid w:val="00EB3DDD"/>
    <w:rsid w:val="00EB4047"/>
    <w:rsid w:val="00EB7FF1"/>
    <w:rsid w:val="00EC05AC"/>
    <w:rsid w:val="00EC06F0"/>
    <w:rsid w:val="00EC0E3C"/>
    <w:rsid w:val="00EC1BA2"/>
    <w:rsid w:val="00EC23D2"/>
    <w:rsid w:val="00EC26C5"/>
    <w:rsid w:val="00EC2972"/>
    <w:rsid w:val="00EC3466"/>
    <w:rsid w:val="00EC36F1"/>
    <w:rsid w:val="00EC3DBD"/>
    <w:rsid w:val="00EC3EBC"/>
    <w:rsid w:val="00EC4973"/>
    <w:rsid w:val="00EC49EF"/>
    <w:rsid w:val="00EC4EDC"/>
    <w:rsid w:val="00EC5EBA"/>
    <w:rsid w:val="00EC5FE9"/>
    <w:rsid w:val="00EC6487"/>
    <w:rsid w:val="00EC6822"/>
    <w:rsid w:val="00EC6C15"/>
    <w:rsid w:val="00EC72EF"/>
    <w:rsid w:val="00EC7D11"/>
    <w:rsid w:val="00EC7E6C"/>
    <w:rsid w:val="00ED2E27"/>
    <w:rsid w:val="00ED36F5"/>
    <w:rsid w:val="00ED3937"/>
    <w:rsid w:val="00ED3BC1"/>
    <w:rsid w:val="00ED45C5"/>
    <w:rsid w:val="00ED4695"/>
    <w:rsid w:val="00ED55EC"/>
    <w:rsid w:val="00ED5751"/>
    <w:rsid w:val="00ED6C37"/>
    <w:rsid w:val="00ED6EE7"/>
    <w:rsid w:val="00ED7FD1"/>
    <w:rsid w:val="00EE0F8B"/>
    <w:rsid w:val="00EE18DD"/>
    <w:rsid w:val="00EE1F31"/>
    <w:rsid w:val="00EE2324"/>
    <w:rsid w:val="00EE266F"/>
    <w:rsid w:val="00EE34C1"/>
    <w:rsid w:val="00EE354F"/>
    <w:rsid w:val="00EE427F"/>
    <w:rsid w:val="00EE43CF"/>
    <w:rsid w:val="00EE4594"/>
    <w:rsid w:val="00EE4839"/>
    <w:rsid w:val="00EE4CDD"/>
    <w:rsid w:val="00EE4E57"/>
    <w:rsid w:val="00EE5055"/>
    <w:rsid w:val="00EE5536"/>
    <w:rsid w:val="00EE5822"/>
    <w:rsid w:val="00EE5845"/>
    <w:rsid w:val="00EE65E6"/>
    <w:rsid w:val="00EF11DA"/>
    <w:rsid w:val="00EF178B"/>
    <w:rsid w:val="00EF1E5B"/>
    <w:rsid w:val="00EF3631"/>
    <w:rsid w:val="00EF38E4"/>
    <w:rsid w:val="00EF3E9F"/>
    <w:rsid w:val="00EF406F"/>
    <w:rsid w:val="00EF4292"/>
    <w:rsid w:val="00EF4E62"/>
    <w:rsid w:val="00EF6416"/>
    <w:rsid w:val="00EF6516"/>
    <w:rsid w:val="00F004BD"/>
    <w:rsid w:val="00F0054F"/>
    <w:rsid w:val="00F02040"/>
    <w:rsid w:val="00F023DE"/>
    <w:rsid w:val="00F0296F"/>
    <w:rsid w:val="00F0303D"/>
    <w:rsid w:val="00F03DD2"/>
    <w:rsid w:val="00F049F1"/>
    <w:rsid w:val="00F04C38"/>
    <w:rsid w:val="00F04E22"/>
    <w:rsid w:val="00F05262"/>
    <w:rsid w:val="00F06915"/>
    <w:rsid w:val="00F06D98"/>
    <w:rsid w:val="00F10B33"/>
    <w:rsid w:val="00F113A0"/>
    <w:rsid w:val="00F13E83"/>
    <w:rsid w:val="00F140FE"/>
    <w:rsid w:val="00F146AA"/>
    <w:rsid w:val="00F148B2"/>
    <w:rsid w:val="00F148C5"/>
    <w:rsid w:val="00F14967"/>
    <w:rsid w:val="00F154E9"/>
    <w:rsid w:val="00F163BA"/>
    <w:rsid w:val="00F165D1"/>
    <w:rsid w:val="00F17AD1"/>
    <w:rsid w:val="00F2097C"/>
    <w:rsid w:val="00F209EB"/>
    <w:rsid w:val="00F21866"/>
    <w:rsid w:val="00F21B3F"/>
    <w:rsid w:val="00F21E76"/>
    <w:rsid w:val="00F231D7"/>
    <w:rsid w:val="00F23922"/>
    <w:rsid w:val="00F24586"/>
    <w:rsid w:val="00F24591"/>
    <w:rsid w:val="00F2572F"/>
    <w:rsid w:val="00F2697B"/>
    <w:rsid w:val="00F26AD2"/>
    <w:rsid w:val="00F27CC2"/>
    <w:rsid w:val="00F27CE5"/>
    <w:rsid w:val="00F31433"/>
    <w:rsid w:val="00F31AB9"/>
    <w:rsid w:val="00F31AFA"/>
    <w:rsid w:val="00F341FD"/>
    <w:rsid w:val="00F3580B"/>
    <w:rsid w:val="00F35AC6"/>
    <w:rsid w:val="00F35CEF"/>
    <w:rsid w:val="00F35EAD"/>
    <w:rsid w:val="00F36C3A"/>
    <w:rsid w:val="00F36CB1"/>
    <w:rsid w:val="00F404AC"/>
    <w:rsid w:val="00F405F9"/>
    <w:rsid w:val="00F40D73"/>
    <w:rsid w:val="00F42302"/>
    <w:rsid w:val="00F42C6A"/>
    <w:rsid w:val="00F42FFC"/>
    <w:rsid w:val="00F44B33"/>
    <w:rsid w:val="00F44DD2"/>
    <w:rsid w:val="00F45378"/>
    <w:rsid w:val="00F4566C"/>
    <w:rsid w:val="00F469DE"/>
    <w:rsid w:val="00F514E8"/>
    <w:rsid w:val="00F519F7"/>
    <w:rsid w:val="00F52C59"/>
    <w:rsid w:val="00F52D6F"/>
    <w:rsid w:val="00F5391B"/>
    <w:rsid w:val="00F53EB8"/>
    <w:rsid w:val="00F53FE0"/>
    <w:rsid w:val="00F55AFA"/>
    <w:rsid w:val="00F568B6"/>
    <w:rsid w:val="00F56D3A"/>
    <w:rsid w:val="00F5720B"/>
    <w:rsid w:val="00F5787C"/>
    <w:rsid w:val="00F5789B"/>
    <w:rsid w:val="00F57BFE"/>
    <w:rsid w:val="00F604AC"/>
    <w:rsid w:val="00F605C0"/>
    <w:rsid w:val="00F61F75"/>
    <w:rsid w:val="00F649C2"/>
    <w:rsid w:val="00F66AC1"/>
    <w:rsid w:val="00F676CD"/>
    <w:rsid w:val="00F707B5"/>
    <w:rsid w:val="00F71764"/>
    <w:rsid w:val="00F7456F"/>
    <w:rsid w:val="00F762E6"/>
    <w:rsid w:val="00F76320"/>
    <w:rsid w:val="00F768A0"/>
    <w:rsid w:val="00F769B7"/>
    <w:rsid w:val="00F76D78"/>
    <w:rsid w:val="00F76E56"/>
    <w:rsid w:val="00F80F66"/>
    <w:rsid w:val="00F83077"/>
    <w:rsid w:val="00F8374D"/>
    <w:rsid w:val="00F83837"/>
    <w:rsid w:val="00F84186"/>
    <w:rsid w:val="00F84392"/>
    <w:rsid w:val="00F8765A"/>
    <w:rsid w:val="00F87CE3"/>
    <w:rsid w:val="00F90423"/>
    <w:rsid w:val="00F9060E"/>
    <w:rsid w:val="00F907D4"/>
    <w:rsid w:val="00F922FD"/>
    <w:rsid w:val="00F925D6"/>
    <w:rsid w:val="00F940BA"/>
    <w:rsid w:val="00F9443C"/>
    <w:rsid w:val="00F947D8"/>
    <w:rsid w:val="00F950D7"/>
    <w:rsid w:val="00F9532C"/>
    <w:rsid w:val="00F96015"/>
    <w:rsid w:val="00F96A08"/>
    <w:rsid w:val="00FA007C"/>
    <w:rsid w:val="00FA05CF"/>
    <w:rsid w:val="00FA18D9"/>
    <w:rsid w:val="00FA3838"/>
    <w:rsid w:val="00FA3D39"/>
    <w:rsid w:val="00FA3FC1"/>
    <w:rsid w:val="00FA45FE"/>
    <w:rsid w:val="00FA5DC6"/>
    <w:rsid w:val="00FA650F"/>
    <w:rsid w:val="00FA6B0E"/>
    <w:rsid w:val="00FA6D1C"/>
    <w:rsid w:val="00FB08DC"/>
    <w:rsid w:val="00FB1CC7"/>
    <w:rsid w:val="00FB1CEF"/>
    <w:rsid w:val="00FB25D3"/>
    <w:rsid w:val="00FB2E3A"/>
    <w:rsid w:val="00FB3FD0"/>
    <w:rsid w:val="00FB4C4C"/>
    <w:rsid w:val="00FB4F31"/>
    <w:rsid w:val="00FB5DDC"/>
    <w:rsid w:val="00FB60C4"/>
    <w:rsid w:val="00FB61EF"/>
    <w:rsid w:val="00FB65BA"/>
    <w:rsid w:val="00FB777D"/>
    <w:rsid w:val="00FB7E19"/>
    <w:rsid w:val="00FC0BE7"/>
    <w:rsid w:val="00FC195B"/>
    <w:rsid w:val="00FC2F67"/>
    <w:rsid w:val="00FC3715"/>
    <w:rsid w:val="00FC3D0D"/>
    <w:rsid w:val="00FC4CF8"/>
    <w:rsid w:val="00FC5437"/>
    <w:rsid w:val="00FC5D94"/>
    <w:rsid w:val="00FC67CB"/>
    <w:rsid w:val="00FC70EA"/>
    <w:rsid w:val="00FD092E"/>
    <w:rsid w:val="00FD19BE"/>
    <w:rsid w:val="00FD22F9"/>
    <w:rsid w:val="00FD27DC"/>
    <w:rsid w:val="00FD3037"/>
    <w:rsid w:val="00FD325C"/>
    <w:rsid w:val="00FD3AF5"/>
    <w:rsid w:val="00FD3D1E"/>
    <w:rsid w:val="00FD42CA"/>
    <w:rsid w:val="00FD4C59"/>
    <w:rsid w:val="00FD596E"/>
    <w:rsid w:val="00FD6583"/>
    <w:rsid w:val="00FD68B9"/>
    <w:rsid w:val="00FD6CCD"/>
    <w:rsid w:val="00FD6E65"/>
    <w:rsid w:val="00FD7159"/>
    <w:rsid w:val="00FD7381"/>
    <w:rsid w:val="00FD764F"/>
    <w:rsid w:val="00FD7BEE"/>
    <w:rsid w:val="00FD7D72"/>
    <w:rsid w:val="00FE0210"/>
    <w:rsid w:val="00FE165B"/>
    <w:rsid w:val="00FE17AA"/>
    <w:rsid w:val="00FE195D"/>
    <w:rsid w:val="00FE1CA7"/>
    <w:rsid w:val="00FE2391"/>
    <w:rsid w:val="00FE2E9B"/>
    <w:rsid w:val="00FE376B"/>
    <w:rsid w:val="00FE402A"/>
    <w:rsid w:val="00FE494C"/>
    <w:rsid w:val="00FE666B"/>
    <w:rsid w:val="00FE706B"/>
    <w:rsid w:val="00FF0FBD"/>
    <w:rsid w:val="00FF1817"/>
    <w:rsid w:val="00FF19D2"/>
    <w:rsid w:val="00FF1D6B"/>
    <w:rsid w:val="00FF363E"/>
    <w:rsid w:val="00FF3DA6"/>
    <w:rsid w:val="00FF4E4D"/>
    <w:rsid w:val="00FF50B5"/>
    <w:rsid w:val="00FF68C1"/>
    <w:rsid w:val="00FF6D7C"/>
    <w:rsid w:val="00FF7139"/>
    <w:rsid w:val="00FF720B"/>
    <w:rsid w:val="00FF77B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E4077B"/>
  <w15:docId w15:val="{DC652D22-D519-4C86-B3A9-FCDFEC1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BC"/>
    <w:pPr>
      <w:spacing w:after="1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360" w:lineRule="auto"/>
      <w:jc w:val="center"/>
    </w:pPr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A92961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6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million\AppData\Roaming\Microsoft\Templates\Newsletter%20(Black%20Ti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00B6F5B51C54E86583DC2677F3EC1" ma:contentTypeVersion="18" ma:contentTypeDescription="Create a new document." ma:contentTypeScope="" ma:versionID="34a5a398b1d362d668de0cf8b4bea342">
  <xsd:schema xmlns:xsd="http://www.w3.org/2001/XMLSchema" xmlns:xs="http://www.w3.org/2001/XMLSchema" xmlns:p="http://schemas.microsoft.com/office/2006/metadata/properties" xmlns:ns2="eba337b9-75dc-4c6a-88fe-b4bc8dd44154" xmlns:ns3="ccab4ec9-ddba-4591-a8be-e43cfe3e19f7" targetNamespace="http://schemas.microsoft.com/office/2006/metadata/properties" ma:root="true" ma:fieldsID="cd44b0cb43a4f2756b45dc133746c857" ns2:_="" ns3:_="">
    <xsd:import namespace="eba337b9-75dc-4c6a-88fe-b4bc8dd44154"/>
    <xsd:import namespace="ccab4ec9-ddba-4591-a8be-e43cfe3e1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37b9-75dc-4c6a-88fe-b4bc8dd44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0f21b9-bced-420d-b0f4-1f816345924a}" ma:internalName="TaxCatchAll" ma:showField="CatchAllData" ma:web="eba337b9-75dc-4c6a-88fe-b4bc8dd44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4ec9-ddba-4591-a8be-e43cfe3e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b7c4bbd-2749-451c-bb4a-1381650c1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a337b9-75dc-4c6a-88fe-b4bc8dd44154">YQ4ZMZRC7HKQ-882766960-22849</_dlc_DocId>
    <_dlc_DocIdUrl xmlns="eba337b9-75dc-4c6a-88fe-b4bc8dd44154">
      <Url>https://headwealthmgmt.sharepoint.com/sites/HIPShared/_layouts/15/DocIdRedir.aspx?ID=YQ4ZMZRC7HKQ-882766960-22849</Url>
      <Description>YQ4ZMZRC7HKQ-882766960-22849</Description>
    </_dlc_DocIdUrl>
    <TaxCatchAll xmlns="eba337b9-75dc-4c6a-88fe-b4bc8dd44154" xsi:nil="true"/>
    <lcf76f155ced4ddcb4097134ff3c332f xmlns="ccab4ec9-ddba-4591-a8be-e43cfe3e19f7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96200B-6EC6-428B-AF77-A467DAC37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94195-633A-49D5-93AE-6640AD93658D}"/>
</file>

<file path=customXml/itemProps3.xml><?xml version="1.0" encoding="utf-8"?>
<ds:datastoreItem xmlns:ds="http://schemas.openxmlformats.org/officeDocument/2006/customXml" ds:itemID="{004ED10A-9E13-43F6-93A1-B95E5DC4BE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59935-FB94-4DB7-B6D5-CC1C1E8194A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a337b9-75dc-4c6a-88fe-b4bc8dd44154"/>
    <ds:schemaRef ds:uri="http://schemas.microsoft.com/office/2006/metadata/properties"/>
    <ds:schemaRef ds:uri="ccab4ec9-ddba-4591-a8be-e43cfe3e19f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5AC4DA-CCCC-472F-A1C0-C17C41382A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(Black Tie design)</Template>
  <TotalTime>0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Million</dc:creator>
  <cp:keywords/>
  <cp:lastModifiedBy>Jonathan Hayes</cp:lastModifiedBy>
  <cp:revision>2</cp:revision>
  <cp:lastPrinted>2023-10-16T16:40:00Z</cp:lastPrinted>
  <dcterms:created xsi:type="dcterms:W3CDTF">2024-03-27T16:30:00Z</dcterms:created>
  <dcterms:modified xsi:type="dcterms:W3CDTF">2024-03-27T16:30:00Z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TC018408449991</vt:lpwstr>
  </property>
  <property fmtid="{D5CDD505-2E9C-101B-9397-08002B2CF9AE}" pid="3" name="ContentTypeId">
    <vt:lpwstr>0x01010003400B6F5B51C54E86583DC2677F3EC1</vt:lpwstr>
  </property>
  <property fmtid="{D5CDD505-2E9C-101B-9397-08002B2CF9AE}" pid="4" name="_dlc_DocIdItemGuid">
    <vt:lpwstr>ff947f9a-a87c-41af-8aa7-99bc34cae176</vt:lpwstr>
  </property>
  <property fmtid="{D5CDD505-2E9C-101B-9397-08002B2CF9AE}" pid="5" name="MediaServiceImageTags">
    <vt:lpwstr/>
  </property>
</Properties>
</file>