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43760" w14:textId="64980E9F" w:rsidR="004872D4" w:rsidRDefault="004872D4" w:rsidP="001D2EEB">
      <w:pPr>
        <w:ind w:left="1440"/>
        <w:jc w:val="right"/>
      </w:pPr>
      <w:r>
        <w:rPr>
          <w:noProof/>
        </w:rPr>
        <mc:AlternateContent>
          <mc:Choice Requires="wps">
            <w:drawing>
              <wp:anchor distT="45720" distB="45720" distL="114300" distR="114300" simplePos="0" relativeHeight="251658240" behindDoc="0" locked="0" layoutInCell="1" allowOverlap="1" wp14:anchorId="6AB64B0F" wp14:editId="4D4981BC">
                <wp:simplePos x="0" y="0"/>
                <wp:positionH relativeFrom="margin">
                  <wp:posOffset>76200</wp:posOffset>
                </wp:positionH>
                <wp:positionV relativeFrom="paragraph">
                  <wp:posOffset>635</wp:posOffset>
                </wp:positionV>
                <wp:extent cx="7648575" cy="727710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7277100"/>
                        </a:xfrm>
                        <a:prstGeom prst="rect">
                          <a:avLst/>
                        </a:prstGeom>
                        <a:solidFill>
                          <a:srgbClr val="FFFFFF"/>
                        </a:solidFill>
                        <a:ln w="9525">
                          <a:noFill/>
                          <a:miter lim="800000"/>
                          <a:headEnd/>
                          <a:tailEnd/>
                        </a:ln>
                      </wps:spPr>
                      <wps:txbx>
                        <w:txbxContent>
                          <w:p w14:paraId="3C8A2F08" w14:textId="03E4E9D4" w:rsidR="004872D4" w:rsidRPr="00257921" w:rsidRDefault="00AF215C" w:rsidP="004872D4">
                            <w:pPr>
                              <w:spacing w:after="0"/>
                              <w:jc w:val="center"/>
                              <w:rPr>
                                <w:rFonts w:cstheme="minorHAnsi"/>
                                <w:b/>
                                <w:color w:val="002060"/>
                                <w:sz w:val="44"/>
                                <w:szCs w:val="44"/>
                              </w:rPr>
                            </w:pPr>
                            <w:r>
                              <w:rPr>
                                <w:rFonts w:cstheme="minorHAnsi"/>
                                <w:b/>
                                <w:color w:val="002060"/>
                                <w:sz w:val="44"/>
                                <w:szCs w:val="44"/>
                              </w:rPr>
                              <w:t xml:space="preserve">Understanding </w:t>
                            </w:r>
                            <w:r w:rsidR="007C0456">
                              <w:rPr>
                                <w:rFonts w:cstheme="minorHAnsi"/>
                                <w:b/>
                                <w:color w:val="002060"/>
                                <w:sz w:val="44"/>
                                <w:szCs w:val="44"/>
                              </w:rPr>
                              <w:t>“</w:t>
                            </w:r>
                            <w:r w:rsidR="00343FB9">
                              <w:rPr>
                                <w:rFonts w:cstheme="minorHAnsi"/>
                                <w:b/>
                                <w:color w:val="002060"/>
                                <w:sz w:val="44"/>
                                <w:szCs w:val="44"/>
                              </w:rPr>
                              <w:t>Bond Math</w:t>
                            </w:r>
                            <w:r w:rsidR="007C0456">
                              <w:rPr>
                                <w:rFonts w:cstheme="minorHAnsi"/>
                                <w:b/>
                                <w:color w:val="002060"/>
                                <w:sz w:val="44"/>
                                <w:szCs w:val="44"/>
                              </w:rPr>
                              <w:t>”</w:t>
                            </w:r>
                          </w:p>
                          <w:p w14:paraId="4F932AD4" w14:textId="77777777" w:rsidR="00D5042A" w:rsidRDefault="00D5042A" w:rsidP="005A048D">
                            <w:pPr>
                              <w:spacing w:after="0"/>
                              <w:rPr>
                                <w:rFonts w:cstheme="minorHAnsi"/>
                                <w:bCs/>
                                <w:sz w:val="24"/>
                                <w:szCs w:val="24"/>
                              </w:rPr>
                            </w:pPr>
                          </w:p>
                          <w:p w14:paraId="2258F560" w14:textId="77777777" w:rsidR="00873779" w:rsidRDefault="00873779" w:rsidP="005A048D">
                            <w:pPr>
                              <w:spacing w:after="0"/>
                              <w:rPr>
                                <w:rFonts w:cstheme="minorHAnsi"/>
                                <w:bCs/>
                                <w:sz w:val="24"/>
                                <w:szCs w:val="24"/>
                              </w:rPr>
                            </w:pPr>
                          </w:p>
                          <w:p w14:paraId="07194844" w14:textId="77777777" w:rsidR="00873779" w:rsidRPr="00CF0150" w:rsidRDefault="00873779" w:rsidP="00CF0150">
                            <w:pPr>
                              <w:spacing w:after="0"/>
                              <w:jc w:val="center"/>
                              <w:rPr>
                                <w:rFonts w:cstheme="minorHAnsi"/>
                                <w:bCs/>
                                <w:color w:val="0070C0"/>
                                <w:sz w:val="28"/>
                                <w:szCs w:val="28"/>
                              </w:rPr>
                            </w:pPr>
                            <w:r w:rsidRPr="00CF0150">
                              <w:rPr>
                                <w:rFonts w:cstheme="minorHAnsi"/>
                                <w:bCs/>
                                <w:color w:val="0070C0"/>
                                <w:sz w:val="28"/>
                                <w:szCs w:val="28"/>
                              </w:rPr>
                              <w:t>“People worry about the riskiness of stocks, but bonds can be just as risky.”</w:t>
                            </w:r>
                          </w:p>
                          <w:p w14:paraId="6A2ADB24" w14:textId="6FF5FF37" w:rsidR="00873779" w:rsidRPr="00CF0150" w:rsidRDefault="00873779" w:rsidP="00CF0150">
                            <w:pPr>
                              <w:spacing w:after="0"/>
                              <w:jc w:val="center"/>
                              <w:rPr>
                                <w:rFonts w:cstheme="minorHAnsi"/>
                                <w:bCs/>
                                <w:i/>
                                <w:iCs/>
                                <w:color w:val="0070C0"/>
                                <w:sz w:val="28"/>
                                <w:szCs w:val="28"/>
                              </w:rPr>
                            </w:pPr>
                            <w:r w:rsidRPr="00CF0150">
                              <w:rPr>
                                <w:rFonts w:cstheme="minorHAnsi"/>
                                <w:bCs/>
                                <w:i/>
                                <w:iCs/>
                                <w:color w:val="0070C0"/>
                                <w:sz w:val="28"/>
                                <w:szCs w:val="28"/>
                              </w:rPr>
                              <w:t>Peter Lynch</w:t>
                            </w:r>
                          </w:p>
                          <w:p w14:paraId="608D4D66" w14:textId="77777777" w:rsidR="005065E8" w:rsidRPr="00CF0150" w:rsidRDefault="005065E8" w:rsidP="00CF0150">
                            <w:pPr>
                              <w:spacing w:after="0"/>
                              <w:jc w:val="center"/>
                              <w:rPr>
                                <w:rFonts w:cstheme="minorHAnsi"/>
                                <w:bCs/>
                                <w:color w:val="0070C0"/>
                                <w:sz w:val="28"/>
                                <w:szCs w:val="28"/>
                              </w:rPr>
                            </w:pPr>
                          </w:p>
                          <w:p w14:paraId="1EC813A0" w14:textId="77777777" w:rsidR="005065E8" w:rsidRPr="00CF0150" w:rsidRDefault="005065E8" w:rsidP="00CF0150">
                            <w:pPr>
                              <w:spacing w:after="0"/>
                              <w:jc w:val="center"/>
                              <w:rPr>
                                <w:rFonts w:cstheme="minorHAnsi"/>
                                <w:bCs/>
                                <w:color w:val="0070C0"/>
                                <w:sz w:val="28"/>
                                <w:szCs w:val="28"/>
                              </w:rPr>
                            </w:pPr>
                            <w:r w:rsidRPr="00CF0150">
                              <w:rPr>
                                <w:rFonts w:cstheme="minorHAnsi"/>
                                <w:bCs/>
                                <w:color w:val="0070C0"/>
                                <w:sz w:val="28"/>
                                <w:szCs w:val="28"/>
                              </w:rPr>
                              <w:t>“While we can learn from the long run about how bonds and stocks respond to changing environments and to each other, the long run can tell us perilously little about what kinds of environments lie ahead.”</w:t>
                            </w:r>
                          </w:p>
                          <w:p w14:paraId="36D61F80" w14:textId="7CA5A708" w:rsidR="005065E8" w:rsidRPr="00CF0150" w:rsidRDefault="005065E8" w:rsidP="00CF0150">
                            <w:pPr>
                              <w:spacing w:after="0"/>
                              <w:jc w:val="center"/>
                              <w:rPr>
                                <w:rFonts w:cstheme="minorHAnsi"/>
                                <w:bCs/>
                                <w:i/>
                                <w:iCs/>
                                <w:color w:val="0070C0"/>
                                <w:sz w:val="28"/>
                                <w:szCs w:val="28"/>
                              </w:rPr>
                            </w:pPr>
                            <w:r w:rsidRPr="00CF0150">
                              <w:rPr>
                                <w:rFonts w:cstheme="minorHAnsi"/>
                                <w:bCs/>
                                <w:i/>
                                <w:iCs/>
                                <w:color w:val="0070C0"/>
                                <w:sz w:val="28"/>
                                <w:szCs w:val="28"/>
                              </w:rPr>
                              <w:t>Peter Bernstein</w:t>
                            </w:r>
                          </w:p>
                          <w:p w14:paraId="6124F10F" w14:textId="77777777" w:rsidR="004C1695" w:rsidRDefault="004C1695" w:rsidP="00CF0150">
                            <w:pPr>
                              <w:spacing w:after="0"/>
                              <w:rPr>
                                <w:rFonts w:cstheme="minorHAnsi"/>
                                <w:bCs/>
                                <w:sz w:val="24"/>
                                <w:szCs w:val="24"/>
                              </w:rPr>
                            </w:pPr>
                          </w:p>
                          <w:p w14:paraId="01FBBA57" w14:textId="248C60B2" w:rsidR="00CF0150" w:rsidRDefault="00CF0150" w:rsidP="00CF0150">
                            <w:pPr>
                              <w:spacing w:after="0"/>
                              <w:rPr>
                                <w:rFonts w:cstheme="minorHAnsi"/>
                                <w:bCs/>
                                <w:sz w:val="24"/>
                                <w:szCs w:val="24"/>
                              </w:rPr>
                            </w:pPr>
                            <w:r>
                              <w:rPr>
                                <w:rFonts w:cstheme="minorHAnsi"/>
                                <w:bCs/>
                                <w:sz w:val="24"/>
                                <w:szCs w:val="24"/>
                              </w:rPr>
                              <w:t xml:space="preserve">As these giants of investing </w:t>
                            </w:r>
                            <w:r w:rsidR="004C1695">
                              <w:rPr>
                                <w:rFonts w:cstheme="minorHAnsi"/>
                                <w:bCs/>
                                <w:sz w:val="24"/>
                                <w:szCs w:val="24"/>
                              </w:rPr>
                              <w:t xml:space="preserve">shared decades ago, bonds are far from riskless investments.  </w:t>
                            </w:r>
                            <w:r>
                              <w:rPr>
                                <w:rFonts w:cstheme="minorHAnsi"/>
                                <w:bCs/>
                                <w:sz w:val="24"/>
                                <w:szCs w:val="24"/>
                              </w:rPr>
                              <w:t xml:space="preserve">Allow </w:t>
                            </w:r>
                            <w:r w:rsidR="007E561A">
                              <w:rPr>
                                <w:rFonts w:cstheme="minorHAnsi"/>
                                <w:bCs/>
                                <w:sz w:val="24"/>
                                <w:szCs w:val="24"/>
                              </w:rPr>
                              <w:t>us</w:t>
                            </w:r>
                            <w:r>
                              <w:rPr>
                                <w:rFonts w:cstheme="minorHAnsi"/>
                                <w:bCs/>
                                <w:sz w:val="24"/>
                                <w:szCs w:val="24"/>
                              </w:rPr>
                              <w:t xml:space="preserve"> the leniency of beginning with a chart:</w:t>
                            </w:r>
                          </w:p>
                          <w:p w14:paraId="441CAE56" w14:textId="656B3A40" w:rsidR="00770BA6" w:rsidRDefault="00770BA6" w:rsidP="005A048D">
                            <w:pPr>
                              <w:spacing w:after="0"/>
                              <w:rPr>
                                <w:rFonts w:cstheme="minorHAnsi"/>
                                <w:bCs/>
                                <w:sz w:val="24"/>
                                <w:szCs w:val="24"/>
                              </w:rPr>
                            </w:pPr>
                          </w:p>
                          <w:p w14:paraId="5A2AA211" w14:textId="195D8401" w:rsidR="00282920" w:rsidRDefault="00763E65" w:rsidP="005E1702">
                            <w:pPr>
                              <w:spacing w:after="0"/>
                              <w:jc w:val="center"/>
                              <w:rPr>
                                <w:rFonts w:cstheme="minorHAnsi"/>
                                <w:bCs/>
                                <w:sz w:val="24"/>
                                <w:szCs w:val="24"/>
                              </w:rPr>
                            </w:pPr>
                            <w:r w:rsidRPr="00763E65">
                              <w:rPr>
                                <w:noProof/>
                              </w:rPr>
                              <w:drawing>
                                <wp:inline distT="0" distB="0" distL="0" distR="0" wp14:anchorId="496569A4" wp14:editId="3BDFF241">
                                  <wp:extent cx="3609975" cy="2238375"/>
                                  <wp:effectExtent l="0" t="0" r="9525" b="9525"/>
                                  <wp:docPr id="8612500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2238375"/>
                                          </a:xfrm>
                                          <a:prstGeom prst="rect">
                                            <a:avLst/>
                                          </a:prstGeom>
                                          <a:noFill/>
                                          <a:ln>
                                            <a:noFill/>
                                          </a:ln>
                                        </pic:spPr>
                                      </pic:pic>
                                    </a:graphicData>
                                  </a:graphic>
                                </wp:inline>
                              </w:drawing>
                            </w:r>
                          </w:p>
                          <w:p w14:paraId="47B7E53C" w14:textId="77777777" w:rsidR="00763E65" w:rsidRDefault="00763E65" w:rsidP="00763E65">
                            <w:pPr>
                              <w:spacing w:after="0"/>
                              <w:rPr>
                                <w:rFonts w:cstheme="minorHAnsi"/>
                                <w:bCs/>
                                <w:sz w:val="24"/>
                                <w:szCs w:val="24"/>
                              </w:rPr>
                            </w:pPr>
                          </w:p>
                          <w:p w14:paraId="1E9D44F3" w14:textId="239B806B" w:rsidR="00763E65" w:rsidRDefault="00763E65" w:rsidP="00763E65">
                            <w:pPr>
                              <w:spacing w:after="0"/>
                              <w:rPr>
                                <w:rFonts w:cstheme="minorHAnsi"/>
                                <w:bCs/>
                                <w:sz w:val="24"/>
                                <w:szCs w:val="24"/>
                              </w:rPr>
                            </w:pPr>
                            <w:r>
                              <w:rPr>
                                <w:rFonts w:cstheme="minorHAnsi"/>
                                <w:bCs/>
                                <w:sz w:val="24"/>
                                <w:szCs w:val="24"/>
                              </w:rPr>
                              <w:t xml:space="preserve">Suffice it to say, many investors </w:t>
                            </w:r>
                            <w:r w:rsidR="0084678A">
                              <w:rPr>
                                <w:rFonts w:cstheme="minorHAnsi"/>
                                <w:bCs/>
                                <w:sz w:val="24"/>
                                <w:szCs w:val="24"/>
                              </w:rPr>
                              <w:t xml:space="preserve">are </w:t>
                            </w:r>
                            <w:r w:rsidR="002B0D1C">
                              <w:rPr>
                                <w:rFonts w:cstheme="minorHAnsi"/>
                                <w:bCs/>
                                <w:sz w:val="24"/>
                                <w:szCs w:val="24"/>
                              </w:rPr>
                              <w:t>struggling to understand</w:t>
                            </w:r>
                            <w:r w:rsidR="0084678A">
                              <w:rPr>
                                <w:rFonts w:cstheme="minorHAnsi"/>
                                <w:bCs/>
                                <w:sz w:val="24"/>
                                <w:szCs w:val="24"/>
                              </w:rPr>
                              <w:t xml:space="preserve"> the </w:t>
                            </w:r>
                            <w:r w:rsidR="00A84142">
                              <w:rPr>
                                <w:rFonts w:cstheme="minorHAnsi"/>
                                <w:bCs/>
                                <w:sz w:val="24"/>
                                <w:szCs w:val="24"/>
                              </w:rPr>
                              <w:t>returns experienced by their bond portfolios over the most recent three years.</w:t>
                            </w:r>
                            <w:r w:rsidR="00010136">
                              <w:rPr>
                                <w:rFonts w:cstheme="minorHAnsi"/>
                                <w:bCs/>
                                <w:sz w:val="24"/>
                                <w:szCs w:val="24"/>
                              </w:rPr>
                              <w:t xml:space="preserve">  Not only are we </w:t>
                            </w:r>
                            <w:r w:rsidR="00C4375B">
                              <w:rPr>
                                <w:rFonts w:cstheme="minorHAnsi"/>
                                <w:bCs/>
                                <w:sz w:val="24"/>
                                <w:szCs w:val="24"/>
                              </w:rPr>
                              <w:t>approaching a 3-year losing streak in bonds that has never transpired since the formation of this country, but the scale of losses has caused meaningful damage for some investors.</w:t>
                            </w:r>
                            <w:r w:rsidR="0002239B">
                              <w:rPr>
                                <w:rFonts w:cstheme="minorHAnsi"/>
                                <w:bCs/>
                                <w:sz w:val="24"/>
                                <w:szCs w:val="24"/>
                              </w:rPr>
                              <w:t xml:space="preserve">  </w:t>
                            </w:r>
                          </w:p>
                          <w:p w14:paraId="5734EE68" w14:textId="77777777" w:rsidR="0002239B" w:rsidRDefault="0002239B" w:rsidP="00763E65">
                            <w:pPr>
                              <w:spacing w:after="0"/>
                              <w:rPr>
                                <w:rFonts w:cstheme="minorHAnsi"/>
                                <w:bCs/>
                                <w:sz w:val="24"/>
                                <w:szCs w:val="24"/>
                              </w:rPr>
                            </w:pPr>
                          </w:p>
                          <w:p w14:paraId="4E990F82" w14:textId="02D94140" w:rsidR="0002239B" w:rsidRDefault="00BE3CAA" w:rsidP="00763E65">
                            <w:pPr>
                              <w:spacing w:after="0"/>
                              <w:rPr>
                                <w:rFonts w:cstheme="minorHAnsi"/>
                                <w:bCs/>
                                <w:sz w:val="24"/>
                                <w:szCs w:val="24"/>
                              </w:rPr>
                            </w:pPr>
                            <w:r>
                              <w:rPr>
                                <w:rFonts w:cstheme="minorHAnsi"/>
                                <w:bCs/>
                                <w:sz w:val="24"/>
                                <w:szCs w:val="24"/>
                              </w:rPr>
                              <w:t xml:space="preserve">Paraphrasing </w:t>
                            </w:r>
                            <w:r w:rsidR="00066BB2">
                              <w:rPr>
                                <w:rFonts w:cstheme="minorHAnsi"/>
                                <w:bCs/>
                                <w:sz w:val="24"/>
                                <w:szCs w:val="24"/>
                              </w:rPr>
                              <w:t xml:space="preserve">Bernstein, the past is the past and we are only as wise as what we gleaned from it. </w:t>
                            </w:r>
                            <w:r>
                              <w:rPr>
                                <w:rFonts w:cstheme="minorHAnsi"/>
                                <w:bCs/>
                                <w:sz w:val="24"/>
                                <w:szCs w:val="24"/>
                              </w:rPr>
                              <w:t xml:space="preserve"> We should not use it blindly to predict the future. </w:t>
                            </w:r>
                            <w:r w:rsidR="00066BB2">
                              <w:rPr>
                                <w:rFonts w:cstheme="minorHAnsi"/>
                                <w:bCs/>
                                <w:sz w:val="24"/>
                                <w:szCs w:val="24"/>
                              </w:rPr>
                              <w:t xml:space="preserve"> </w:t>
                            </w:r>
                            <w:r w:rsidR="0002239B">
                              <w:rPr>
                                <w:rFonts w:cstheme="minorHAnsi"/>
                                <w:bCs/>
                                <w:sz w:val="24"/>
                                <w:szCs w:val="24"/>
                              </w:rPr>
                              <w:t xml:space="preserve">What can we learn </w:t>
                            </w:r>
                            <w:r w:rsidR="000D52E9">
                              <w:rPr>
                                <w:rFonts w:cstheme="minorHAnsi"/>
                                <w:bCs/>
                                <w:sz w:val="24"/>
                                <w:szCs w:val="24"/>
                              </w:rPr>
                              <w:t>from the past and how has our team managed through this challenging time?</w:t>
                            </w:r>
                            <w:r w:rsidR="00F011CF">
                              <w:rPr>
                                <w:rFonts w:cstheme="minorHAnsi"/>
                                <w:bCs/>
                                <w:sz w:val="24"/>
                                <w:szCs w:val="24"/>
                              </w:rPr>
                              <w:t xml:space="preserve"> What do we see on the horizon? </w:t>
                            </w:r>
                            <w:r w:rsidR="00F011CF" w:rsidRPr="00F011CF">
                              <w:rPr>
                                <w:rFonts w:cstheme="minorHAnsi"/>
                                <w:b/>
                                <w:i/>
                                <w:iCs/>
                                <w:sz w:val="24"/>
                                <w:szCs w:val="24"/>
                              </w:rPr>
                              <w:t>What’s the math today for bonds?</w:t>
                            </w:r>
                          </w:p>
                          <w:p w14:paraId="7FFAEB49" w14:textId="77777777" w:rsidR="000D52E9" w:rsidRDefault="000D52E9" w:rsidP="00763E65">
                            <w:pPr>
                              <w:spacing w:after="0"/>
                              <w:rPr>
                                <w:rFonts w:cstheme="minorHAnsi"/>
                                <w:bCs/>
                                <w:sz w:val="24"/>
                                <w:szCs w:val="24"/>
                              </w:rPr>
                            </w:pPr>
                          </w:p>
                          <w:p w14:paraId="10CE56F4" w14:textId="77777777" w:rsidR="000D52E9" w:rsidRDefault="000D52E9" w:rsidP="00763E65">
                            <w:pPr>
                              <w:spacing w:after="0"/>
                              <w:rPr>
                                <w:rFonts w:cstheme="minorHAnsi"/>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64B0F" id="_x0000_t202" coordsize="21600,21600" o:spt="202" path="m,l,21600r21600,l21600,xe">
                <v:stroke joinstyle="miter"/>
                <v:path gradientshapeok="t" o:connecttype="rect"/>
              </v:shapetype>
              <v:shape id="Text Box 1" o:spid="_x0000_s1026" type="#_x0000_t202" style="position:absolute;left:0;text-align:left;margin-left:6pt;margin-top:.05pt;width:602.25pt;height:57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" stroked="f">
                <v:textbox>
                  <w:txbxContent>
                    <w:p w14:paraId="3C8A2F08" w14:textId="03E4E9D4" w:rsidR="004872D4" w:rsidRPr="00257921" w:rsidRDefault="00AF215C" w:rsidP="004872D4">
                      <w:pPr>
                        <w:spacing w:after="0"/>
                        <w:jc w:val="center"/>
                        <w:rPr>
                          <w:rFonts w:cstheme="minorHAnsi"/>
                          <w:b/>
                          <w:color w:val="002060"/>
                          <w:sz w:val="44"/>
                          <w:szCs w:val="44"/>
                        </w:rPr>
                      </w:pPr>
                      <w:r>
                        <w:rPr>
                          <w:rFonts w:cstheme="minorHAnsi"/>
                          <w:b/>
                          <w:color w:val="002060"/>
                          <w:sz w:val="44"/>
                          <w:szCs w:val="44"/>
                        </w:rPr>
                        <w:t xml:space="preserve">Understanding </w:t>
                      </w:r>
                      <w:r w:rsidR="007C0456">
                        <w:rPr>
                          <w:rFonts w:cstheme="minorHAnsi"/>
                          <w:b/>
                          <w:color w:val="002060"/>
                          <w:sz w:val="44"/>
                          <w:szCs w:val="44"/>
                        </w:rPr>
                        <w:t>“</w:t>
                      </w:r>
                      <w:r w:rsidR="00343FB9">
                        <w:rPr>
                          <w:rFonts w:cstheme="minorHAnsi"/>
                          <w:b/>
                          <w:color w:val="002060"/>
                          <w:sz w:val="44"/>
                          <w:szCs w:val="44"/>
                        </w:rPr>
                        <w:t>Bond Math</w:t>
                      </w:r>
                      <w:r w:rsidR="007C0456">
                        <w:rPr>
                          <w:rFonts w:cstheme="minorHAnsi"/>
                          <w:b/>
                          <w:color w:val="002060"/>
                          <w:sz w:val="44"/>
                          <w:szCs w:val="44"/>
                        </w:rPr>
                        <w:t>”</w:t>
                      </w:r>
                    </w:p>
                    <w:p w14:paraId="4F932AD4" w14:textId="77777777" w:rsidR="00D5042A" w:rsidRDefault="00D5042A" w:rsidP="005A048D">
                      <w:pPr>
                        <w:spacing w:after="0"/>
                        <w:rPr>
                          <w:rFonts w:cstheme="minorHAnsi"/>
                          <w:bCs/>
                          <w:sz w:val="24"/>
                          <w:szCs w:val="24"/>
                        </w:rPr>
                      </w:pPr>
                    </w:p>
                    <w:p w14:paraId="2258F560" w14:textId="77777777" w:rsidR="00873779" w:rsidRDefault="00873779" w:rsidP="005A048D">
                      <w:pPr>
                        <w:spacing w:after="0"/>
                        <w:rPr>
                          <w:rFonts w:cstheme="minorHAnsi"/>
                          <w:bCs/>
                          <w:sz w:val="24"/>
                          <w:szCs w:val="24"/>
                        </w:rPr>
                      </w:pPr>
                    </w:p>
                    <w:p w14:paraId="07194844" w14:textId="77777777" w:rsidR="00873779" w:rsidRPr="00CF0150" w:rsidRDefault="00873779" w:rsidP="00CF0150">
                      <w:pPr>
                        <w:spacing w:after="0"/>
                        <w:jc w:val="center"/>
                        <w:rPr>
                          <w:rFonts w:cstheme="minorHAnsi"/>
                          <w:bCs/>
                          <w:color w:val="0070C0"/>
                          <w:sz w:val="28"/>
                          <w:szCs w:val="28"/>
                        </w:rPr>
                      </w:pPr>
                      <w:r w:rsidRPr="00CF0150">
                        <w:rPr>
                          <w:rFonts w:cstheme="minorHAnsi"/>
                          <w:bCs/>
                          <w:color w:val="0070C0"/>
                          <w:sz w:val="28"/>
                          <w:szCs w:val="28"/>
                        </w:rPr>
                        <w:t>“People worry about the riskiness of stocks, but bonds can be just as risky.”</w:t>
                      </w:r>
                    </w:p>
                    <w:p w14:paraId="6A2ADB24" w14:textId="6FF5FF37" w:rsidR="00873779" w:rsidRPr="00CF0150" w:rsidRDefault="00873779" w:rsidP="00CF0150">
                      <w:pPr>
                        <w:spacing w:after="0"/>
                        <w:jc w:val="center"/>
                        <w:rPr>
                          <w:rFonts w:cstheme="minorHAnsi"/>
                          <w:bCs/>
                          <w:i/>
                          <w:iCs/>
                          <w:color w:val="0070C0"/>
                          <w:sz w:val="28"/>
                          <w:szCs w:val="28"/>
                        </w:rPr>
                      </w:pPr>
                      <w:r w:rsidRPr="00CF0150">
                        <w:rPr>
                          <w:rFonts w:cstheme="minorHAnsi"/>
                          <w:bCs/>
                          <w:i/>
                          <w:iCs/>
                          <w:color w:val="0070C0"/>
                          <w:sz w:val="28"/>
                          <w:szCs w:val="28"/>
                        </w:rPr>
                        <w:t>Peter Lynch</w:t>
                      </w:r>
                    </w:p>
                    <w:p w14:paraId="608D4D66" w14:textId="77777777" w:rsidR="005065E8" w:rsidRPr="00CF0150" w:rsidRDefault="005065E8" w:rsidP="00CF0150">
                      <w:pPr>
                        <w:spacing w:after="0"/>
                        <w:jc w:val="center"/>
                        <w:rPr>
                          <w:rFonts w:cstheme="minorHAnsi"/>
                          <w:bCs/>
                          <w:color w:val="0070C0"/>
                          <w:sz w:val="28"/>
                          <w:szCs w:val="28"/>
                        </w:rPr>
                      </w:pPr>
                    </w:p>
                    <w:p w14:paraId="1EC813A0" w14:textId="77777777" w:rsidR="005065E8" w:rsidRPr="00CF0150" w:rsidRDefault="005065E8" w:rsidP="00CF0150">
                      <w:pPr>
                        <w:spacing w:after="0"/>
                        <w:jc w:val="center"/>
                        <w:rPr>
                          <w:rFonts w:cstheme="minorHAnsi"/>
                          <w:bCs/>
                          <w:color w:val="0070C0"/>
                          <w:sz w:val="28"/>
                          <w:szCs w:val="28"/>
                        </w:rPr>
                      </w:pPr>
                      <w:r w:rsidRPr="00CF0150">
                        <w:rPr>
                          <w:rFonts w:cstheme="minorHAnsi"/>
                          <w:bCs/>
                          <w:color w:val="0070C0"/>
                          <w:sz w:val="28"/>
                          <w:szCs w:val="28"/>
                        </w:rPr>
                        <w:t>“While we can learn from the long run about how bonds and stocks respond to changing environments and to each other, the long run can tell us perilously little about what kinds of environments lie ahead.”</w:t>
                      </w:r>
                    </w:p>
                    <w:p w14:paraId="36D61F80" w14:textId="7CA5A708" w:rsidR="005065E8" w:rsidRPr="00CF0150" w:rsidRDefault="005065E8" w:rsidP="00CF0150">
                      <w:pPr>
                        <w:spacing w:after="0"/>
                        <w:jc w:val="center"/>
                        <w:rPr>
                          <w:rFonts w:cstheme="minorHAnsi"/>
                          <w:bCs/>
                          <w:i/>
                          <w:iCs/>
                          <w:color w:val="0070C0"/>
                          <w:sz w:val="28"/>
                          <w:szCs w:val="28"/>
                        </w:rPr>
                      </w:pPr>
                      <w:r w:rsidRPr="00CF0150">
                        <w:rPr>
                          <w:rFonts w:cstheme="minorHAnsi"/>
                          <w:bCs/>
                          <w:i/>
                          <w:iCs/>
                          <w:color w:val="0070C0"/>
                          <w:sz w:val="28"/>
                          <w:szCs w:val="28"/>
                        </w:rPr>
                        <w:t>Peter Bernstein</w:t>
                      </w:r>
                    </w:p>
                    <w:p w14:paraId="6124F10F" w14:textId="77777777" w:rsidR="004C1695" w:rsidRDefault="004C1695" w:rsidP="00CF0150">
                      <w:pPr>
                        <w:spacing w:after="0"/>
                        <w:rPr>
                          <w:rFonts w:cstheme="minorHAnsi"/>
                          <w:bCs/>
                          <w:sz w:val="24"/>
                          <w:szCs w:val="24"/>
                        </w:rPr>
                      </w:pPr>
                    </w:p>
                    <w:p w14:paraId="01FBBA57" w14:textId="248C60B2" w:rsidR="00CF0150" w:rsidRDefault="00CF0150" w:rsidP="00CF0150">
                      <w:pPr>
                        <w:spacing w:after="0"/>
                        <w:rPr>
                          <w:rFonts w:cstheme="minorHAnsi"/>
                          <w:bCs/>
                          <w:sz w:val="24"/>
                          <w:szCs w:val="24"/>
                        </w:rPr>
                      </w:pPr>
                      <w:r>
                        <w:rPr>
                          <w:rFonts w:cstheme="minorHAnsi"/>
                          <w:bCs/>
                          <w:sz w:val="24"/>
                          <w:szCs w:val="24"/>
                        </w:rPr>
                        <w:t xml:space="preserve">As these giants of investing </w:t>
                      </w:r>
                      <w:r w:rsidR="004C1695">
                        <w:rPr>
                          <w:rFonts w:cstheme="minorHAnsi"/>
                          <w:bCs/>
                          <w:sz w:val="24"/>
                          <w:szCs w:val="24"/>
                        </w:rPr>
                        <w:t xml:space="preserve">shared decades ago, bonds are far from riskless investments.  </w:t>
                      </w:r>
                      <w:r>
                        <w:rPr>
                          <w:rFonts w:cstheme="minorHAnsi"/>
                          <w:bCs/>
                          <w:sz w:val="24"/>
                          <w:szCs w:val="24"/>
                        </w:rPr>
                        <w:t xml:space="preserve">Allow </w:t>
                      </w:r>
                      <w:r w:rsidR="007E561A">
                        <w:rPr>
                          <w:rFonts w:cstheme="minorHAnsi"/>
                          <w:bCs/>
                          <w:sz w:val="24"/>
                          <w:szCs w:val="24"/>
                        </w:rPr>
                        <w:t>us</w:t>
                      </w:r>
                      <w:r>
                        <w:rPr>
                          <w:rFonts w:cstheme="minorHAnsi"/>
                          <w:bCs/>
                          <w:sz w:val="24"/>
                          <w:szCs w:val="24"/>
                        </w:rPr>
                        <w:t xml:space="preserve"> the leniency of beginning with a chart:</w:t>
                      </w:r>
                    </w:p>
                    <w:p w14:paraId="441CAE56" w14:textId="656B3A40" w:rsidR="00770BA6" w:rsidRDefault="00770BA6" w:rsidP="005A048D">
                      <w:pPr>
                        <w:spacing w:after="0"/>
                        <w:rPr>
                          <w:rFonts w:cstheme="minorHAnsi"/>
                          <w:bCs/>
                          <w:sz w:val="24"/>
                          <w:szCs w:val="24"/>
                        </w:rPr>
                      </w:pPr>
                    </w:p>
                    <w:p w14:paraId="5A2AA211" w14:textId="195D8401" w:rsidR="00282920" w:rsidRDefault="00763E65" w:rsidP="005E1702">
                      <w:pPr>
                        <w:spacing w:after="0"/>
                        <w:jc w:val="center"/>
                        <w:rPr>
                          <w:rFonts w:cstheme="minorHAnsi"/>
                          <w:bCs/>
                          <w:sz w:val="24"/>
                          <w:szCs w:val="24"/>
                        </w:rPr>
                      </w:pPr>
                      <w:r w:rsidRPr="00763E65">
                        <w:rPr>
                          <w:noProof/>
                        </w:rPr>
                        <w:drawing>
                          <wp:inline distT="0" distB="0" distL="0" distR="0" wp14:anchorId="496569A4" wp14:editId="3BDFF241">
                            <wp:extent cx="3609975" cy="2238375"/>
                            <wp:effectExtent l="0" t="0" r="9525" b="9525"/>
                            <wp:docPr id="8612500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2238375"/>
                                    </a:xfrm>
                                    <a:prstGeom prst="rect">
                                      <a:avLst/>
                                    </a:prstGeom>
                                    <a:noFill/>
                                    <a:ln>
                                      <a:noFill/>
                                    </a:ln>
                                  </pic:spPr>
                                </pic:pic>
                              </a:graphicData>
                            </a:graphic>
                          </wp:inline>
                        </w:drawing>
                      </w:r>
                    </w:p>
                    <w:p w14:paraId="47B7E53C" w14:textId="77777777" w:rsidR="00763E65" w:rsidRDefault="00763E65" w:rsidP="00763E65">
                      <w:pPr>
                        <w:spacing w:after="0"/>
                        <w:rPr>
                          <w:rFonts w:cstheme="minorHAnsi"/>
                          <w:bCs/>
                          <w:sz w:val="24"/>
                          <w:szCs w:val="24"/>
                        </w:rPr>
                      </w:pPr>
                    </w:p>
                    <w:p w14:paraId="1E9D44F3" w14:textId="239B806B" w:rsidR="00763E65" w:rsidRDefault="00763E65" w:rsidP="00763E65">
                      <w:pPr>
                        <w:spacing w:after="0"/>
                        <w:rPr>
                          <w:rFonts w:cstheme="minorHAnsi"/>
                          <w:bCs/>
                          <w:sz w:val="24"/>
                          <w:szCs w:val="24"/>
                        </w:rPr>
                      </w:pPr>
                      <w:r>
                        <w:rPr>
                          <w:rFonts w:cstheme="minorHAnsi"/>
                          <w:bCs/>
                          <w:sz w:val="24"/>
                          <w:szCs w:val="24"/>
                        </w:rPr>
                        <w:t xml:space="preserve">Suffice it to say, many investors </w:t>
                      </w:r>
                      <w:r w:rsidR="0084678A">
                        <w:rPr>
                          <w:rFonts w:cstheme="minorHAnsi"/>
                          <w:bCs/>
                          <w:sz w:val="24"/>
                          <w:szCs w:val="24"/>
                        </w:rPr>
                        <w:t xml:space="preserve">are </w:t>
                      </w:r>
                      <w:r w:rsidR="002B0D1C">
                        <w:rPr>
                          <w:rFonts w:cstheme="minorHAnsi"/>
                          <w:bCs/>
                          <w:sz w:val="24"/>
                          <w:szCs w:val="24"/>
                        </w:rPr>
                        <w:t>struggling to understand</w:t>
                      </w:r>
                      <w:r w:rsidR="0084678A">
                        <w:rPr>
                          <w:rFonts w:cstheme="minorHAnsi"/>
                          <w:bCs/>
                          <w:sz w:val="24"/>
                          <w:szCs w:val="24"/>
                        </w:rPr>
                        <w:t xml:space="preserve"> the </w:t>
                      </w:r>
                      <w:r w:rsidR="00A84142">
                        <w:rPr>
                          <w:rFonts w:cstheme="minorHAnsi"/>
                          <w:bCs/>
                          <w:sz w:val="24"/>
                          <w:szCs w:val="24"/>
                        </w:rPr>
                        <w:t>returns experienced by their bond portfolios over the most recent three years.</w:t>
                      </w:r>
                      <w:r w:rsidR="00010136">
                        <w:rPr>
                          <w:rFonts w:cstheme="minorHAnsi"/>
                          <w:bCs/>
                          <w:sz w:val="24"/>
                          <w:szCs w:val="24"/>
                        </w:rPr>
                        <w:t xml:space="preserve">  Not only are we </w:t>
                      </w:r>
                      <w:r w:rsidR="00C4375B">
                        <w:rPr>
                          <w:rFonts w:cstheme="minorHAnsi"/>
                          <w:bCs/>
                          <w:sz w:val="24"/>
                          <w:szCs w:val="24"/>
                        </w:rPr>
                        <w:t>approaching a 3-year losing streak in bonds that has never transpired since the formation of this country, but the scale of losses has caused meaningful damage for some investors.</w:t>
                      </w:r>
                      <w:r w:rsidR="0002239B">
                        <w:rPr>
                          <w:rFonts w:cstheme="minorHAnsi"/>
                          <w:bCs/>
                          <w:sz w:val="24"/>
                          <w:szCs w:val="24"/>
                        </w:rPr>
                        <w:t xml:space="preserve">  </w:t>
                      </w:r>
                    </w:p>
                    <w:p w14:paraId="5734EE68" w14:textId="77777777" w:rsidR="0002239B" w:rsidRDefault="0002239B" w:rsidP="00763E65">
                      <w:pPr>
                        <w:spacing w:after="0"/>
                        <w:rPr>
                          <w:rFonts w:cstheme="minorHAnsi"/>
                          <w:bCs/>
                          <w:sz w:val="24"/>
                          <w:szCs w:val="24"/>
                        </w:rPr>
                      </w:pPr>
                    </w:p>
                    <w:p w14:paraId="4E990F82" w14:textId="02D94140" w:rsidR="0002239B" w:rsidRDefault="00BE3CAA" w:rsidP="00763E65">
                      <w:pPr>
                        <w:spacing w:after="0"/>
                        <w:rPr>
                          <w:rFonts w:cstheme="minorHAnsi"/>
                          <w:bCs/>
                          <w:sz w:val="24"/>
                          <w:szCs w:val="24"/>
                        </w:rPr>
                      </w:pPr>
                      <w:r>
                        <w:rPr>
                          <w:rFonts w:cstheme="minorHAnsi"/>
                          <w:bCs/>
                          <w:sz w:val="24"/>
                          <w:szCs w:val="24"/>
                        </w:rPr>
                        <w:t xml:space="preserve">Paraphrasing </w:t>
                      </w:r>
                      <w:r w:rsidR="00066BB2">
                        <w:rPr>
                          <w:rFonts w:cstheme="minorHAnsi"/>
                          <w:bCs/>
                          <w:sz w:val="24"/>
                          <w:szCs w:val="24"/>
                        </w:rPr>
                        <w:t xml:space="preserve">Bernstein, the past is the past and we are only as wise as what we gleaned from it. </w:t>
                      </w:r>
                      <w:r>
                        <w:rPr>
                          <w:rFonts w:cstheme="minorHAnsi"/>
                          <w:bCs/>
                          <w:sz w:val="24"/>
                          <w:szCs w:val="24"/>
                        </w:rPr>
                        <w:t xml:space="preserve"> We should not use it blindly to predict the future. </w:t>
                      </w:r>
                      <w:r w:rsidR="00066BB2">
                        <w:rPr>
                          <w:rFonts w:cstheme="minorHAnsi"/>
                          <w:bCs/>
                          <w:sz w:val="24"/>
                          <w:szCs w:val="24"/>
                        </w:rPr>
                        <w:t xml:space="preserve"> </w:t>
                      </w:r>
                      <w:r w:rsidR="0002239B">
                        <w:rPr>
                          <w:rFonts w:cstheme="minorHAnsi"/>
                          <w:bCs/>
                          <w:sz w:val="24"/>
                          <w:szCs w:val="24"/>
                        </w:rPr>
                        <w:t xml:space="preserve">What can we learn </w:t>
                      </w:r>
                      <w:r w:rsidR="000D52E9">
                        <w:rPr>
                          <w:rFonts w:cstheme="minorHAnsi"/>
                          <w:bCs/>
                          <w:sz w:val="24"/>
                          <w:szCs w:val="24"/>
                        </w:rPr>
                        <w:t>from the past and how has our team managed through this challenging time?</w:t>
                      </w:r>
                      <w:r w:rsidR="00F011CF">
                        <w:rPr>
                          <w:rFonts w:cstheme="minorHAnsi"/>
                          <w:bCs/>
                          <w:sz w:val="24"/>
                          <w:szCs w:val="24"/>
                        </w:rPr>
                        <w:t xml:space="preserve"> What do we see on the horizon? </w:t>
                      </w:r>
                      <w:r w:rsidR="00F011CF" w:rsidRPr="00F011CF">
                        <w:rPr>
                          <w:rFonts w:cstheme="minorHAnsi"/>
                          <w:b/>
                          <w:i/>
                          <w:iCs/>
                          <w:sz w:val="24"/>
                          <w:szCs w:val="24"/>
                        </w:rPr>
                        <w:t>What’s the math today for bonds?</w:t>
                      </w:r>
                    </w:p>
                    <w:p w14:paraId="7FFAEB49" w14:textId="77777777" w:rsidR="000D52E9" w:rsidRDefault="000D52E9" w:rsidP="00763E65">
                      <w:pPr>
                        <w:spacing w:after="0"/>
                        <w:rPr>
                          <w:rFonts w:cstheme="minorHAnsi"/>
                          <w:bCs/>
                          <w:sz w:val="24"/>
                          <w:szCs w:val="24"/>
                        </w:rPr>
                      </w:pPr>
                    </w:p>
                    <w:p w14:paraId="10CE56F4" w14:textId="77777777" w:rsidR="000D52E9" w:rsidRDefault="000D52E9" w:rsidP="00763E65">
                      <w:pPr>
                        <w:spacing w:after="0"/>
                        <w:rPr>
                          <w:rFonts w:cstheme="minorHAnsi"/>
                          <w:bCs/>
                          <w:sz w:val="24"/>
                          <w:szCs w:val="24"/>
                        </w:rPr>
                      </w:pPr>
                    </w:p>
                  </w:txbxContent>
                </v:textbox>
                <w10:wrap type="square" anchorx="margin"/>
              </v:shape>
            </w:pict>
          </mc:Fallback>
        </mc:AlternateContent>
      </w:r>
    </w:p>
    <w:p w14:paraId="52C3A396" w14:textId="00FF9E96" w:rsidR="0077227A" w:rsidRDefault="00D32B82" w:rsidP="001D2EEB">
      <w:pPr>
        <w:ind w:left="1440"/>
        <w:jc w:val="right"/>
      </w:pPr>
      <w:r>
        <w:rPr>
          <w:noProof/>
        </w:rPr>
        <w:lastRenderedPageBreak/>
        <mc:AlternateContent>
          <mc:Choice Requires="wps">
            <w:drawing>
              <wp:anchor distT="0" distB="0" distL="114300" distR="114300" simplePos="0" relativeHeight="251659266" behindDoc="0" locked="0" layoutInCell="1" allowOverlap="1" wp14:anchorId="69739E02" wp14:editId="393F612F">
                <wp:simplePos x="0" y="0"/>
                <wp:positionH relativeFrom="column">
                  <wp:posOffset>3848100</wp:posOffset>
                </wp:positionH>
                <wp:positionV relativeFrom="paragraph">
                  <wp:posOffset>1934210</wp:posOffset>
                </wp:positionV>
                <wp:extent cx="3829050" cy="5257800"/>
                <wp:effectExtent l="0" t="0" r="0" b="0"/>
                <wp:wrapNone/>
                <wp:docPr id="1259008687" name="Text Box 3"/>
                <wp:cNvGraphicFramePr/>
                <a:graphic xmlns:a="http://schemas.openxmlformats.org/drawingml/2006/main">
                  <a:graphicData uri="http://schemas.microsoft.com/office/word/2010/wordprocessingShape">
                    <wps:wsp>
                      <wps:cNvSpPr txBox="1"/>
                      <wps:spPr>
                        <a:xfrm>
                          <a:off x="0" y="0"/>
                          <a:ext cx="3829050" cy="5257800"/>
                        </a:xfrm>
                        <a:prstGeom prst="rect">
                          <a:avLst/>
                        </a:prstGeom>
                        <a:solidFill>
                          <a:schemeClr val="lt1"/>
                        </a:solidFill>
                        <a:ln w="6350">
                          <a:noFill/>
                        </a:ln>
                      </wps:spPr>
                      <wps:txbx>
                        <w:txbxContent>
                          <w:p w14:paraId="021AA6D5" w14:textId="224415B8" w:rsidR="00D32B82" w:rsidRPr="00CF3C6C" w:rsidRDefault="00A65040">
                            <w:pPr>
                              <w:rPr>
                                <w:b/>
                                <w:bCs/>
                                <w:sz w:val="24"/>
                                <w:szCs w:val="24"/>
                              </w:rPr>
                            </w:pPr>
                            <w:r w:rsidRPr="00CF3C6C">
                              <w:rPr>
                                <w:b/>
                                <w:bCs/>
                                <w:sz w:val="24"/>
                                <w:szCs w:val="24"/>
                              </w:rPr>
                              <w:t>How</w:t>
                            </w:r>
                            <w:r w:rsidR="00FE0929" w:rsidRPr="00CF3C6C">
                              <w:rPr>
                                <w:b/>
                                <w:bCs/>
                                <w:sz w:val="24"/>
                                <w:szCs w:val="24"/>
                              </w:rPr>
                              <w:t xml:space="preserve"> ha</w:t>
                            </w:r>
                            <w:r w:rsidR="0044774D" w:rsidRPr="00CF3C6C">
                              <w:rPr>
                                <w:b/>
                                <w:bCs/>
                                <w:sz w:val="24"/>
                                <w:szCs w:val="24"/>
                              </w:rPr>
                              <w:t>s HIP</w:t>
                            </w:r>
                            <w:r w:rsidR="00FE0929" w:rsidRPr="00CF3C6C">
                              <w:rPr>
                                <w:b/>
                                <w:bCs/>
                                <w:sz w:val="24"/>
                                <w:szCs w:val="24"/>
                              </w:rPr>
                              <w:t xml:space="preserve"> posted </w:t>
                            </w:r>
                            <w:r w:rsidR="004E0A89" w:rsidRPr="00CF3C6C">
                              <w:rPr>
                                <w:b/>
                                <w:bCs/>
                                <w:sz w:val="24"/>
                                <w:szCs w:val="24"/>
                              </w:rPr>
                              <w:t xml:space="preserve">5 - </w:t>
                            </w:r>
                            <w:r w:rsidR="001C0750" w:rsidRPr="00CF3C6C">
                              <w:rPr>
                                <w:b/>
                                <w:bCs/>
                                <w:sz w:val="24"/>
                                <w:szCs w:val="24"/>
                              </w:rPr>
                              <w:t xml:space="preserve">6% outperformance vs. the AGG YTD for </w:t>
                            </w:r>
                            <w:r w:rsidR="0044774D" w:rsidRPr="00CF3C6C">
                              <w:rPr>
                                <w:b/>
                                <w:bCs/>
                                <w:sz w:val="24"/>
                                <w:szCs w:val="24"/>
                              </w:rPr>
                              <w:t>our</w:t>
                            </w:r>
                            <w:r w:rsidR="001C0750" w:rsidRPr="00CF3C6C">
                              <w:rPr>
                                <w:b/>
                                <w:bCs/>
                                <w:sz w:val="24"/>
                                <w:szCs w:val="24"/>
                              </w:rPr>
                              <w:t xml:space="preserve"> clients?</w:t>
                            </w:r>
                            <w:r w:rsidR="004E0A89" w:rsidRPr="00CF3C6C">
                              <w:rPr>
                                <w:b/>
                                <w:bCs/>
                                <w:sz w:val="24"/>
                                <w:szCs w:val="24"/>
                              </w:rPr>
                              <w:t xml:space="preserve"> </w:t>
                            </w:r>
                          </w:p>
                          <w:p w14:paraId="12A84FDC" w14:textId="43E081C3" w:rsidR="004E0A89" w:rsidRPr="00CF3C6C" w:rsidRDefault="004E0A89">
                            <w:pPr>
                              <w:rPr>
                                <w:sz w:val="24"/>
                                <w:szCs w:val="24"/>
                              </w:rPr>
                            </w:pPr>
                            <w:r w:rsidRPr="00CF3C6C">
                              <w:rPr>
                                <w:sz w:val="24"/>
                                <w:szCs w:val="24"/>
                              </w:rPr>
                              <w:t xml:space="preserve">For 2023, the key for us </w:t>
                            </w:r>
                            <w:r w:rsidR="0044774D" w:rsidRPr="00CF3C6C">
                              <w:rPr>
                                <w:sz w:val="24"/>
                                <w:szCs w:val="24"/>
                              </w:rPr>
                              <w:t xml:space="preserve">has been </w:t>
                            </w:r>
                            <w:r w:rsidRPr="00CF3C6C">
                              <w:rPr>
                                <w:sz w:val="24"/>
                                <w:szCs w:val="24"/>
                              </w:rPr>
                              <w:t xml:space="preserve">owning </w:t>
                            </w:r>
                            <w:r w:rsidR="005F11A1" w:rsidRPr="00CF3C6C">
                              <w:rPr>
                                <w:sz w:val="24"/>
                                <w:szCs w:val="24"/>
                              </w:rPr>
                              <w:t xml:space="preserve">“spread” and low duration.  Spread refers to credit-sensitive bonds like high yield </w:t>
                            </w:r>
                            <w:r w:rsidR="007C0031" w:rsidRPr="00CF3C6C">
                              <w:rPr>
                                <w:sz w:val="24"/>
                                <w:szCs w:val="24"/>
                              </w:rPr>
                              <w:t xml:space="preserve">and leveraged loans.  Low duration refers to owning bonds whose rate sensitivity was low (like that of the </w:t>
                            </w:r>
                            <w:r w:rsidR="00495986" w:rsidRPr="00CF3C6C">
                              <w:rPr>
                                <w:sz w:val="24"/>
                                <w:szCs w:val="24"/>
                              </w:rPr>
                              <w:t>2Y UST at left).</w:t>
                            </w:r>
                            <w:r w:rsidR="00007095" w:rsidRPr="00CF3C6C">
                              <w:rPr>
                                <w:sz w:val="24"/>
                                <w:szCs w:val="24"/>
                              </w:rPr>
                              <w:t xml:space="preserve"> </w:t>
                            </w:r>
                          </w:p>
                          <w:p w14:paraId="6049BB39" w14:textId="317BC6B2" w:rsidR="00F509B7" w:rsidRPr="00CF3C6C" w:rsidRDefault="00F509B7">
                            <w:pPr>
                              <w:rPr>
                                <w:b/>
                                <w:bCs/>
                                <w:sz w:val="24"/>
                                <w:szCs w:val="24"/>
                              </w:rPr>
                            </w:pPr>
                            <w:r w:rsidRPr="00CF3C6C">
                              <w:rPr>
                                <w:b/>
                                <w:bCs/>
                                <w:sz w:val="24"/>
                                <w:szCs w:val="24"/>
                              </w:rPr>
                              <w:t>Will that work from here?</w:t>
                            </w:r>
                          </w:p>
                          <w:p w14:paraId="4846F25E" w14:textId="77F5173A" w:rsidR="00F509B7" w:rsidRPr="00CF3C6C" w:rsidRDefault="00007095">
                            <w:pPr>
                              <w:rPr>
                                <w:sz w:val="24"/>
                                <w:szCs w:val="24"/>
                              </w:rPr>
                            </w:pPr>
                            <w:r w:rsidRPr="00CF3C6C">
                              <w:rPr>
                                <w:sz w:val="24"/>
                                <w:szCs w:val="24"/>
                              </w:rPr>
                              <w:t>The risk we now face is reinvestment risk</w:t>
                            </w:r>
                            <w:r w:rsidR="006B4424" w:rsidRPr="00CF3C6C">
                              <w:rPr>
                                <w:sz w:val="24"/>
                                <w:szCs w:val="24"/>
                              </w:rPr>
                              <w:t>--</w:t>
                            </w:r>
                            <w:r w:rsidRPr="00CF3C6C">
                              <w:rPr>
                                <w:sz w:val="24"/>
                                <w:szCs w:val="24"/>
                              </w:rPr>
                              <w:t xml:space="preserve"> the risk rates are meaningfully lower when i</w:t>
                            </w:r>
                            <w:r w:rsidR="00342CE5" w:rsidRPr="00CF3C6C">
                              <w:rPr>
                                <w:sz w:val="24"/>
                                <w:szCs w:val="24"/>
                              </w:rPr>
                              <w:t xml:space="preserve">t’s time to redeploy capital. </w:t>
                            </w:r>
                            <w:r w:rsidR="00F509B7" w:rsidRPr="00CF3C6C">
                              <w:rPr>
                                <w:sz w:val="24"/>
                                <w:szCs w:val="24"/>
                              </w:rPr>
                              <w:t>Our approach over the last few weeks (and likely into 2024) has been to increase exposure to IG credit (high quality)</w:t>
                            </w:r>
                            <w:r w:rsidR="00B55DD0" w:rsidRPr="00CF3C6C">
                              <w:rPr>
                                <w:sz w:val="24"/>
                                <w:szCs w:val="24"/>
                              </w:rPr>
                              <w:t xml:space="preserve"> while adding duration to portfolios.  We still believe it’s early to extend duration to that of the </w:t>
                            </w:r>
                            <w:r w:rsidR="00E45C35" w:rsidRPr="00CF3C6C">
                              <w:rPr>
                                <w:sz w:val="24"/>
                                <w:szCs w:val="24"/>
                              </w:rPr>
                              <w:t>AGG but</w:t>
                            </w:r>
                            <w:r w:rsidR="00B55DD0" w:rsidRPr="00CF3C6C">
                              <w:rPr>
                                <w:sz w:val="24"/>
                                <w:szCs w:val="24"/>
                              </w:rPr>
                              <w:t xml:space="preserve"> acknowledge that the opportunity in front of us for total return is exciting.</w:t>
                            </w:r>
                          </w:p>
                          <w:p w14:paraId="76D4F255" w14:textId="7DD54B8F" w:rsidR="00AC0C7B" w:rsidRPr="00CF3C6C" w:rsidRDefault="00AC0C7B">
                            <w:pPr>
                              <w:rPr>
                                <w:b/>
                                <w:bCs/>
                                <w:sz w:val="24"/>
                                <w:szCs w:val="24"/>
                              </w:rPr>
                            </w:pPr>
                            <w:r w:rsidRPr="00CF3C6C">
                              <w:rPr>
                                <w:b/>
                                <w:bCs/>
                                <w:sz w:val="24"/>
                                <w:szCs w:val="24"/>
                              </w:rPr>
                              <w:t>One Last example:</w:t>
                            </w:r>
                          </w:p>
                          <w:p w14:paraId="4C49A84B" w14:textId="6EC88D54" w:rsidR="00AC0C7B" w:rsidRPr="00CF3C6C" w:rsidRDefault="005A45C1">
                            <w:pPr>
                              <w:rPr>
                                <w:sz w:val="24"/>
                                <w:szCs w:val="24"/>
                              </w:rPr>
                            </w:pPr>
                            <w:r w:rsidRPr="00CF3C6C">
                              <w:rPr>
                                <w:sz w:val="24"/>
                                <w:szCs w:val="24"/>
                              </w:rPr>
                              <w:t xml:space="preserve">Consider the </w:t>
                            </w:r>
                            <w:r w:rsidR="00AC0C7B" w:rsidRPr="00CF3C6C">
                              <w:rPr>
                                <w:sz w:val="24"/>
                                <w:szCs w:val="24"/>
                              </w:rPr>
                              <w:t xml:space="preserve">portfolio with a 4 </w:t>
                            </w:r>
                            <w:proofErr w:type="spellStart"/>
                            <w:r w:rsidR="00AC0C7B" w:rsidRPr="00CF3C6C">
                              <w:rPr>
                                <w:sz w:val="24"/>
                                <w:szCs w:val="24"/>
                              </w:rPr>
                              <w:t>yr</w:t>
                            </w:r>
                            <w:proofErr w:type="spellEnd"/>
                            <w:r w:rsidR="00AC0C7B" w:rsidRPr="00CF3C6C">
                              <w:rPr>
                                <w:sz w:val="24"/>
                                <w:szCs w:val="24"/>
                              </w:rPr>
                              <w:t xml:space="preserve"> duration</w:t>
                            </w:r>
                            <w:r w:rsidRPr="00CF3C6C">
                              <w:rPr>
                                <w:sz w:val="24"/>
                                <w:szCs w:val="24"/>
                              </w:rPr>
                              <w:t xml:space="preserve"> and </w:t>
                            </w:r>
                            <w:r w:rsidR="00AC0C7B" w:rsidRPr="00CF3C6C">
                              <w:rPr>
                                <w:sz w:val="24"/>
                                <w:szCs w:val="24"/>
                              </w:rPr>
                              <w:t xml:space="preserve">a </w:t>
                            </w:r>
                            <w:r w:rsidRPr="00CF3C6C">
                              <w:rPr>
                                <w:sz w:val="24"/>
                                <w:szCs w:val="24"/>
                              </w:rPr>
                              <w:t xml:space="preserve">6% distribution yield. Over the next 2 years, a </w:t>
                            </w:r>
                            <w:r w:rsidR="00AC0C7B" w:rsidRPr="00CF3C6C">
                              <w:rPr>
                                <w:sz w:val="24"/>
                                <w:szCs w:val="24"/>
                              </w:rPr>
                              <w:t xml:space="preserve">2% </w:t>
                            </w:r>
                            <w:r w:rsidRPr="00CF3C6C">
                              <w:rPr>
                                <w:sz w:val="24"/>
                                <w:szCs w:val="24"/>
                              </w:rPr>
                              <w:t xml:space="preserve">drop </w:t>
                            </w:r>
                            <w:r w:rsidR="001D7BF9" w:rsidRPr="00CF3C6C">
                              <w:rPr>
                                <w:sz w:val="24"/>
                                <w:szCs w:val="24"/>
                              </w:rPr>
                              <w:t>for</w:t>
                            </w:r>
                            <w:r w:rsidRPr="00CF3C6C">
                              <w:rPr>
                                <w:sz w:val="24"/>
                                <w:szCs w:val="24"/>
                              </w:rPr>
                              <w:t xml:space="preserve"> rates could produce a return </w:t>
                            </w:r>
                            <w:r w:rsidR="004E4352" w:rsidRPr="00CF3C6C">
                              <w:rPr>
                                <w:sz w:val="24"/>
                                <w:szCs w:val="24"/>
                              </w:rPr>
                              <w:t>of 20% cumulative (2 x 6% coupons + 2% x 4 duration)</w:t>
                            </w:r>
                            <w:r w:rsidR="007A6A9A" w:rsidRPr="00CF3C6C">
                              <w:rPr>
                                <w:sz w:val="24"/>
                                <w:szCs w:val="24"/>
                              </w:rPr>
                              <w:t xml:space="preserve">. </w:t>
                            </w:r>
                            <w:r w:rsidR="007A6A9A" w:rsidRPr="00CF3C6C">
                              <w:rPr>
                                <w:b/>
                                <w:bCs/>
                                <w:i/>
                                <w:iCs/>
                                <w:color w:val="0070C0"/>
                                <w:sz w:val="24"/>
                                <w:szCs w:val="24"/>
                              </w:rPr>
                              <w:t xml:space="preserve">In our minds, </w:t>
                            </w:r>
                            <w:r w:rsidR="001D7BF9" w:rsidRPr="00CF3C6C">
                              <w:rPr>
                                <w:b/>
                                <w:bCs/>
                                <w:i/>
                                <w:iCs/>
                                <w:color w:val="0070C0"/>
                                <w:sz w:val="24"/>
                                <w:szCs w:val="24"/>
                              </w:rPr>
                              <w:t xml:space="preserve">such a bond return </w:t>
                            </w:r>
                            <w:r w:rsidR="007A6A9A" w:rsidRPr="00CF3C6C">
                              <w:rPr>
                                <w:b/>
                                <w:bCs/>
                                <w:i/>
                                <w:iCs/>
                                <w:color w:val="0070C0"/>
                                <w:sz w:val="24"/>
                                <w:szCs w:val="24"/>
                              </w:rPr>
                              <w:t>could outpace many equity strategies as we enter a slowing economic environment and an election year</w:t>
                            </w:r>
                            <w:r w:rsidR="00804CBB" w:rsidRPr="00CF3C6C">
                              <w:rPr>
                                <w:b/>
                                <w:bCs/>
                                <w:i/>
                                <w:iCs/>
                                <w:color w:val="0070C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39E02" id="Text Box 3" o:spid="_x0000_s1027" type="#_x0000_t202" style="position:absolute;left:0;text-align:left;margin-left:303pt;margin-top:152.3pt;width:301.5pt;height:414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" fillcolor="white [3201]" stroked="f" strokeweight=".5pt">
                <v:textbox>
                  <w:txbxContent>
                    <w:p w14:paraId="021AA6D5" w14:textId="224415B8" w:rsidR="00D32B82" w:rsidRPr="00CF3C6C" w:rsidRDefault="00A65040">
                      <w:pPr>
                        <w:rPr>
                          <w:b/>
                          <w:bCs/>
                          <w:sz w:val="24"/>
                          <w:szCs w:val="24"/>
                        </w:rPr>
                      </w:pPr>
                      <w:r w:rsidRPr="00CF3C6C">
                        <w:rPr>
                          <w:b/>
                          <w:bCs/>
                          <w:sz w:val="24"/>
                          <w:szCs w:val="24"/>
                        </w:rPr>
                        <w:t>How</w:t>
                      </w:r>
                      <w:r w:rsidR="00FE0929" w:rsidRPr="00CF3C6C">
                        <w:rPr>
                          <w:b/>
                          <w:bCs/>
                          <w:sz w:val="24"/>
                          <w:szCs w:val="24"/>
                        </w:rPr>
                        <w:t xml:space="preserve"> ha</w:t>
                      </w:r>
                      <w:r w:rsidR="0044774D" w:rsidRPr="00CF3C6C">
                        <w:rPr>
                          <w:b/>
                          <w:bCs/>
                          <w:sz w:val="24"/>
                          <w:szCs w:val="24"/>
                        </w:rPr>
                        <w:t>s HIP</w:t>
                      </w:r>
                      <w:r w:rsidR="00FE0929" w:rsidRPr="00CF3C6C">
                        <w:rPr>
                          <w:b/>
                          <w:bCs/>
                          <w:sz w:val="24"/>
                          <w:szCs w:val="24"/>
                        </w:rPr>
                        <w:t xml:space="preserve"> posted </w:t>
                      </w:r>
                      <w:r w:rsidR="004E0A89" w:rsidRPr="00CF3C6C">
                        <w:rPr>
                          <w:b/>
                          <w:bCs/>
                          <w:sz w:val="24"/>
                          <w:szCs w:val="24"/>
                        </w:rPr>
                        <w:t xml:space="preserve">5 - </w:t>
                      </w:r>
                      <w:r w:rsidR="001C0750" w:rsidRPr="00CF3C6C">
                        <w:rPr>
                          <w:b/>
                          <w:bCs/>
                          <w:sz w:val="24"/>
                          <w:szCs w:val="24"/>
                        </w:rPr>
                        <w:t xml:space="preserve">6% outperformance vs. the AGG YTD for </w:t>
                      </w:r>
                      <w:r w:rsidR="0044774D" w:rsidRPr="00CF3C6C">
                        <w:rPr>
                          <w:b/>
                          <w:bCs/>
                          <w:sz w:val="24"/>
                          <w:szCs w:val="24"/>
                        </w:rPr>
                        <w:t>our</w:t>
                      </w:r>
                      <w:r w:rsidR="001C0750" w:rsidRPr="00CF3C6C">
                        <w:rPr>
                          <w:b/>
                          <w:bCs/>
                          <w:sz w:val="24"/>
                          <w:szCs w:val="24"/>
                        </w:rPr>
                        <w:t xml:space="preserve"> clients?</w:t>
                      </w:r>
                      <w:r w:rsidR="004E0A89" w:rsidRPr="00CF3C6C">
                        <w:rPr>
                          <w:b/>
                          <w:bCs/>
                          <w:sz w:val="24"/>
                          <w:szCs w:val="24"/>
                        </w:rPr>
                        <w:t xml:space="preserve"> </w:t>
                      </w:r>
                    </w:p>
                    <w:p w14:paraId="12A84FDC" w14:textId="43E081C3" w:rsidR="004E0A89" w:rsidRPr="00CF3C6C" w:rsidRDefault="004E0A89">
                      <w:pPr>
                        <w:rPr>
                          <w:sz w:val="24"/>
                          <w:szCs w:val="24"/>
                        </w:rPr>
                      </w:pPr>
                      <w:r w:rsidRPr="00CF3C6C">
                        <w:rPr>
                          <w:sz w:val="24"/>
                          <w:szCs w:val="24"/>
                        </w:rPr>
                        <w:t xml:space="preserve">For 2023, the key for us </w:t>
                      </w:r>
                      <w:r w:rsidR="0044774D" w:rsidRPr="00CF3C6C">
                        <w:rPr>
                          <w:sz w:val="24"/>
                          <w:szCs w:val="24"/>
                        </w:rPr>
                        <w:t xml:space="preserve">has been </w:t>
                      </w:r>
                      <w:r w:rsidRPr="00CF3C6C">
                        <w:rPr>
                          <w:sz w:val="24"/>
                          <w:szCs w:val="24"/>
                        </w:rPr>
                        <w:t xml:space="preserve">owning </w:t>
                      </w:r>
                      <w:r w:rsidR="005F11A1" w:rsidRPr="00CF3C6C">
                        <w:rPr>
                          <w:sz w:val="24"/>
                          <w:szCs w:val="24"/>
                        </w:rPr>
                        <w:t xml:space="preserve">“spread” and low duration.  Spread refers to credit-sensitive bonds like high yield </w:t>
                      </w:r>
                      <w:r w:rsidR="007C0031" w:rsidRPr="00CF3C6C">
                        <w:rPr>
                          <w:sz w:val="24"/>
                          <w:szCs w:val="24"/>
                        </w:rPr>
                        <w:t xml:space="preserve">and leveraged loans.  Low duration refers to owning bonds whose rate sensitivity was low (like that of the </w:t>
                      </w:r>
                      <w:r w:rsidR="00495986" w:rsidRPr="00CF3C6C">
                        <w:rPr>
                          <w:sz w:val="24"/>
                          <w:szCs w:val="24"/>
                        </w:rPr>
                        <w:t>2Y UST at left).</w:t>
                      </w:r>
                      <w:r w:rsidR="00007095" w:rsidRPr="00CF3C6C">
                        <w:rPr>
                          <w:sz w:val="24"/>
                          <w:szCs w:val="24"/>
                        </w:rPr>
                        <w:t xml:space="preserve"> </w:t>
                      </w:r>
                    </w:p>
                    <w:p w14:paraId="6049BB39" w14:textId="317BC6B2" w:rsidR="00F509B7" w:rsidRPr="00CF3C6C" w:rsidRDefault="00F509B7">
                      <w:pPr>
                        <w:rPr>
                          <w:b/>
                          <w:bCs/>
                          <w:sz w:val="24"/>
                          <w:szCs w:val="24"/>
                        </w:rPr>
                      </w:pPr>
                      <w:r w:rsidRPr="00CF3C6C">
                        <w:rPr>
                          <w:b/>
                          <w:bCs/>
                          <w:sz w:val="24"/>
                          <w:szCs w:val="24"/>
                        </w:rPr>
                        <w:t>Will that work from here?</w:t>
                      </w:r>
                    </w:p>
                    <w:p w14:paraId="4846F25E" w14:textId="77F5173A" w:rsidR="00F509B7" w:rsidRPr="00CF3C6C" w:rsidRDefault="00007095">
                      <w:pPr>
                        <w:rPr>
                          <w:sz w:val="24"/>
                          <w:szCs w:val="24"/>
                        </w:rPr>
                      </w:pPr>
                      <w:r w:rsidRPr="00CF3C6C">
                        <w:rPr>
                          <w:sz w:val="24"/>
                          <w:szCs w:val="24"/>
                        </w:rPr>
                        <w:t>The risk we now face is reinvestment risk</w:t>
                      </w:r>
                      <w:r w:rsidR="006B4424" w:rsidRPr="00CF3C6C">
                        <w:rPr>
                          <w:sz w:val="24"/>
                          <w:szCs w:val="24"/>
                        </w:rPr>
                        <w:t>--</w:t>
                      </w:r>
                      <w:r w:rsidRPr="00CF3C6C">
                        <w:rPr>
                          <w:sz w:val="24"/>
                          <w:szCs w:val="24"/>
                        </w:rPr>
                        <w:t xml:space="preserve"> the risk rates are meaningfully lower when i</w:t>
                      </w:r>
                      <w:r w:rsidR="00342CE5" w:rsidRPr="00CF3C6C">
                        <w:rPr>
                          <w:sz w:val="24"/>
                          <w:szCs w:val="24"/>
                        </w:rPr>
                        <w:t xml:space="preserve">t’s time to redeploy capital. </w:t>
                      </w:r>
                      <w:r w:rsidR="00F509B7" w:rsidRPr="00CF3C6C">
                        <w:rPr>
                          <w:sz w:val="24"/>
                          <w:szCs w:val="24"/>
                        </w:rPr>
                        <w:t>Our approach over the last few weeks (and likely into 2024) has been to increase exposure to IG credit (high quality)</w:t>
                      </w:r>
                      <w:r w:rsidR="00B55DD0" w:rsidRPr="00CF3C6C">
                        <w:rPr>
                          <w:sz w:val="24"/>
                          <w:szCs w:val="24"/>
                        </w:rPr>
                        <w:t xml:space="preserve"> while adding duration to portfolios.  We still believe it’s early to extend duration to that of the </w:t>
                      </w:r>
                      <w:r w:rsidR="00E45C35" w:rsidRPr="00CF3C6C">
                        <w:rPr>
                          <w:sz w:val="24"/>
                          <w:szCs w:val="24"/>
                        </w:rPr>
                        <w:t>AGG but</w:t>
                      </w:r>
                      <w:r w:rsidR="00B55DD0" w:rsidRPr="00CF3C6C">
                        <w:rPr>
                          <w:sz w:val="24"/>
                          <w:szCs w:val="24"/>
                        </w:rPr>
                        <w:t xml:space="preserve"> acknowledge that the opportunity in front of us for total return is exciting.</w:t>
                      </w:r>
                    </w:p>
                    <w:p w14:paraId="76D4F255" w14:textId="7DD54B8F" w:rsidR="00AC0C7B" w:rsidRPr="00CF3C6C" w:rsidRDefault="00AC0C7B">
                      <w:pPr>
                        <w:rPr>
                          <w:b/>
                          <w:bCs/>
                          <w:sz w:val="24"/>
                          <w:szCs w:val="24"/>
                        </w:rPr>
                      </w:pPr>
                      <w:r w:rsidRPr="00CF3C6C">
                        <w:rPr>
                          <w:b/>
                          <w:bCs/>
                          <w:sz w:val="24"/>
                          <w:szCs w:val="24"/>
                        </w:rPr>
                        <w:t>One Last example:</w:t>
                      </w:r>
                    </w:p>
                    <w:p w14:paraId="4C49A84B" w14:textId="6EC88D54" w:rsidR="00AC0C7B" w:rsidRPr="00CF3C6C" w:rsidRDefault="005A45C1">
                      <w:pPr>
                        <w:rPr>
                          <w:sz w:val="24"/>
                          <w:szCs w:val="24"/>
                        </w:rPr>
                      </w:pPr>
                      <w:r w:rsidRPr="00CF3C6C">
                        <w:rPr>
                          <w:sz w:val="24"/>
                          <w:szCs w:val="24"/>
                        </w:rPr>
                        <w:t xml:space="preserve">Consider the </w:t>
                      </w:r>
                      <w:r w:rsidR="00AC0C7B" w:rsidRPr="00CF3C6C">
                        <w:rPr>
                          <w:sz w:val="24"/>
                          <w:szCs w:val="24"/>
                        </w:rPr>
                        <w:t xml:space="preserve">portfolio with a 4 </w:t>
                      </w:r>
                      <w:proofErr w:type="spellStart"/>
                      <w:r w:rsidR="00AC0C7B" w:rsidRPr="00CF3C6C">
                        <w:rPr>
                          <w:sz w:val="24"/>
                          <w:szCs w:val="24"/>
                        </w:rPr>
                        <w:t>yr</w:t>
                      </w:r>
                      <w:proofErr w:type="spellEnd"/>
                      <w:r w:rsidR="00AC0C7B" w:rsidRPr="00CF3C6C">
                        <w:rPr>
                          <w:sz w:val="24"/>
                          <w:szCs w:val="24"/>
                        </w:rPr>
                        <w:t xml:space="preserve"> duration</w:t>
                      </w:r>
                      <w:r w:rsidRPr="00CF3C6C">
                        <w:rPr>
                          <w:sz w:val="24"/>
                          <w:szCs w:val="24"/>
                        </w:rPr>
                        <w:t xml:space="preserve"> and </w:t>
                      </w:r>
                      <w:r w:rsidR="00AC0C7B" w:rsidRPr="00CF3C6C">
                        <w:rPr>
                          <w:sz w:val="24"/>
                          <w:szCs w:val="24"/>
                        </w:rPr>
                        <w:t xml:space="preserve">a </w:t>
                      </w:r>
                      <w:r w:rsidRPr="00CF3C6C">
                        <w:rPr>
                          <w:sz w:val="24"/>
                          <w:szCs w:val="24"/>
                        </w:rPr>
                        <w:t xml:space="preserve">6% distribution yield. Over the next 2 years, a </w:t>
                      </w:r>
                      <w:r w:rsidR="00AC0C7B" w:rsidRPr="00CF3C6C">
                        <w:rPr>
                          <w:sz w:val="24"/>
                          <w:szCs w:val="24"/>
                        </w:rPr>
                        <w:t xml:space="preserve">2% </w:t>
                      </w:r>
                      <w:r w:rsidRPr="00CF3C6C">
                        <w:rPr>
                          <w:sz w:val="24"/>
                          <w:szCs w:val="24"/>
                        </w:rPr>
                        <w:t xml:space="preserve">drop </w:t>
                      </w:r>
                      <w:r w:rsidR="001D7BF9" w:rsidRPr="00CF3C6C">
                        <w:rPr>
                          <w:sz w:val="24"/>
                          <w:szCs w:val="24"/>
                        </w:rPr>
                        <w:t>for</w:t>
                      </w:r>
                      <w:r w:rsidRPr="00CF3C6C">
                        <w:rPr>
                          <w:sz w:val="24"/>
                          <w:szCs w:val="24"/>
                        </w:rPr>
                        <w:t xml:space="preserve"> rates could produce a return </w:t>
                      </w:r>
                      <w:r w:rsidR="004E4352" w:rsidRPr="00CF3C6C">
                        <w:rPr>
                          <w:sz w:val="24"/>
                          <w:szCs w:val="24"/>
                        </w:rPr>
                        <w:t>of 20% cumulative (2 x 6% coupons + 2% x 4 duration)</w:t>
                      </w:r>
                      <w:r w:rsidR="007A6A9A" w:rsidRPr="00CF3C6C">
                        <w:rPr>
                          <w:sz w:val="24"/>
                          <w:szCs w:val="24"/>
                        </w:rPr>
                        <w:t xml:space="preserve">. </w:t>
                      </w:r>
                      <w:r w:rsidR="007A6A9A" w:rsidRPr="00CF3C6C">
                        <w:rPr>
                          <w:b/>
                          <w:bCs/>
                          <w:i/>
                          <w:iCs/>
                          <w:color w:val="0070C0"/>
                          <w:sz w:val="24"/>
                          <w:szCs w:val="24"/>
                        </w:rPr>
                        <w:t xml:space="preserve">In our minds, </w:t>
                      </w:r>
                      <w:r w:rsidR="001D7BF9" w:rsidRPr="00CF3C6C">
                        <w:rPr>
                          <w:b/>
                          <w:bCs/>
                          <w:i/>
                          <w:iCs/>
                          <w:color w:val="0070C0"/>
                          <w:sz w:val="24"/>
                          <w:szCs w:val="24"/>
                        </w:rPr>
                        <w:t xml:space="preserve">such a bond return </w:t>
                      </w:r>
                      <w:r w:rsidR="007A6A9A" w:rsidRPr="00CF3C6C">
                        <w:rPr>
                          <w:b/>
                          <w:bCs/>
                          <w:i/>
                          <w:iCs/>
                          <w:color w:val="0070C0"/>
                          <w:sz w:val="24"/>
                          <w:szCs w:val="24"/>
                        </w:rPr>
                        <w:t>could outpace many equity strategies as we enter a slowing economic environment and an election year</w:t>
                      </w:r>
                      <w:r w:rsidR="00804CBB" w:rsidRPr="00CF3C6C">
                        <w:rPr>
                          <w:b/>
                          <w:bCs/>
                          <w:i/>
                          <w:iCs/>
                          <w:color w:val="0070C0"/>
                          <w:sz w:val="24"/>
                          <w:szCs w:val="24"/>
                        </w:rPr>
                        <w:t>!</w:t>
                      </w:r>
                    </w:p>
                  </w:txbxContent>
                </v:textbox>
              </v:shape>
            </w:pict>
          </mc:Fallback>
        </mc:AlternateContent>
      </w:r>
      <w:r w:rsidR="00B12562" w:rsidRPr="00CA1463">
        <w:rPr>
          <w:noProof/>
        </w:rPr>
        <mc:AlternateContent>
          <mc:Choice Requires="wps">
            <w:drawing>
              <wp:anchor distT="45720" distB="45720" distL="114300" distR="114300" simplePos="0" relativeHeight="251658242" behindDoc="0" locked="0" layoutInCell="1" allowOverlap="1" wp14:anchorId="6D707FA6" wp14:editId="6526250F">
                <wp:simplePos x="0" y="0"/>
                <wp:positionH relativeFrom="margin">
                  <wp:posOffset>104775</wp:posOffset>
                </wp:positionH>
                <wp:positionV relativeFrom="paragraph">
                  <wp:posOffset>19685</wp:posOffset>
                </wp:positionV>
                <wp:extent cx="7572375" cy="7258050"/>
                <wp:effectExtent l="0" t="0" r="9525"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7258050"/>
                        </a:xfrm>
                        <a:prstGeom prst="rect">
                          <a:avLst/>
                        </a:prstGeom>
                        <a:solidFill>
                          <a:srgbClr val="FFFFFF"/>
                        </a:solidFill>
                        <a:ln w="9525">
                          <a:noFill/>
                          <a:miter lim="800000"/>
                          <a:headEnd/>
                          <a:tailEnd/>
                        </a:ln>
                      </wps:spPr>
                      <wps:txbx>
                        <w:txbxContent>
                          <w:p w14:paraId="6461E466" w14:textId="6BD2E43C" w:rsidR="00357044" w:rsidRDefault="00202B97" w:rsidP="00202B97">
                            <w:pPr>
                              <w:spacing w:after="0"/>
                              <w:rPr>
                                <w:rFonts w:cstheme="minorHAnsi"/>
                                <w:bCs/>
                                <w:sz w:val="24"/>
                                <w:szCs w:val="24"/>
                              </w:rPr>
                            </w:pPr>
                            <w:r w:rsidRPr="002B0D1C">
                              <w:rPr>
                                <w:rFonts w:cstheme="minorHAnsi"/>
                                <w:b/>
                                <w:i/>
                                <w:iCs/>
                                <w:color w:val="0070C0"/>
                                <w:sz w:val="24"/>
                                <w:szCs w:val="24"/>
                              </w:rPr>
                              <w:t>Many of us have hear</w:t>
                            </w:r>
                            <w:r w:rsidR="00F8286F">
                              <w:rPr>
                                <w:rFonts w:cstheme="minorHAnsi"/>
                                <w:b/>
                                <w:i/>
                                <w:iCs/>
                                <w:color w:val="0070C0"/>
                                <w:sz w:val="24"/>
                                <w:szCs w:val="24"/>
                              </w:rPr>
                              <w:t>d</w:t>
                            </w:r>
                            <w:r w:rsidRPr="002B0D1C">
                              <w:rPr>
                                <w:rFonts w:cstheme="minorHAnsi"/>
                                <w:b/>
                                <w:i/>
                                <w:iCs/>
                                <w:color w:val="0070C0"/>
                                <w:sz w:val="24"/>
                                <w:szCs w:val="24"/>
                              </w:rPr>
                              <w:t xml:space="preserve"> the </w:t>
                            </w:r>
                            <w:r w:rsidR="007948A1" w:rsidRPr="002B0D1C">
                              <w:rPr>
                                <w:rFonts w:cstheme="minorHAnsi"/>
                                <w:b/>
                                <w:i/>
                                <w:iCs/>
                                <w:color w:val="0070C0"/>
                                <w:sz w:val="24"/>
                                <w:szCs w:val="24"/>
                              </w:rPr>
                              <w:t>adage</w:t>
                            </w:r>
                            <w:r w:rsidRPr="002B0D1C">
                              <w:rPr>
                                <w:rFonts w:cstheme="minorHAnsi"/>
                                <w:b/>
                                <w:i/>
                                <w:iCs/>
                                <w:color w:val="0070C0"/>
                                <w:sz w:val="24"/>
                                <w:szCs w:val="24"/>
                              </w:rPr>
                              <w:t xml:space="preserve"> that stocks price on hope and that bonds are simply math.</w:t>
                            </w:r>
                            <w:r w:rsidRPr="002B0D1C">
                              <w:rPr>
                                <w:rFonts w:cstheme="minorHAnsi"/>
                                <w:bCs/>
                                <w:color w:val="0070C0"/>
                                <w:sz w:val="24"/>
                                <w:szCs w:val="24"/>
                              </w:rPr>
                              <w:t xml:space="preserve">  </w:t>
                            </w:r>
                            <w:r>
                              <w:rPr>
                                <w:rFonts w:cstheme="minorHAnsi"/>
                                <w:bCs/>
                                <w:sz w:val="24"/>
                                <w:szCs w:val="24"/>
                              </w:rPr>
                              <w:t xml:space="preserve">While anecdotally </w:t>
                            </w:r>
                            <w:r w:rsidR="007948A1">
                              <w:rPr>
                                <w:rFonts w:cstheme="minorHAnsi"/>
                                <w:bCs/>
                                <w:sz w:val="24"/>
                                <w:szCs w:val="24"/>
                              </w:rPr>
                              <w:t>partially true, to what math are these people referring.  In the industry, we call it [creatively] “bond math.”</w:t>
                            </w:r>
                          </w:p>
                          <w:p w14:paraId="1DA5E404" w14:textId="77777777" w:rsidR="00E67462" w:rsidRDefault="00E67462" w:rsidP="00202B97">
                            <w:pPr>
                              <w:spacing w:after="0"/>
                              <w:rPr>
                                <w:rFonts w:cstheme="minorHAnsi"/>
                                <w:bCs/>
                                <w:sz w:val="24"/>
                                <w:szCs w:val="24"/>
                              </w:rPr>
                            </w:pPr>
                          </w:p>
                          <w:p w14:paraId="089E7209" w14:textId="5CF2C927" w:rsidR="00403004" w:rsidRPr="002B0D1C" w:rsidRDefault="00D112C5" w:rsidP="00202B97">
                            <w:pPr>
                              <w:spacing w:after="0"/>
                              <w:rPr>
                                <w:rFonts w:cstheme="minorHAnsi"/>
                                <w:bCs/>
                                <w:sz w:val="24"/>
                                <w:szCs w:val="24"/>
                              </w:rPr>
                            </w:pPr>
                            <w:r w:rsidRPr="002B0D1C">
                              <w:rPr>
                                <w:rFonts w:cstheme="minorHAnsi"/>
                                <w:bCs/>
                                <w:sz w:val="24"/>
                                <w:szCs w:val="24"/>
                              </w:rPr>
                              <w:t xml:space="preserve">For today’s study, we </w:t>
                            </w:r>
                            <w:r w:rsidR="00403004" w:rsidRPr="002B0D1C">
                              <w:rPr>
                                <w:rFonts w:cstheme="minorHAnsi"/>
                                <w:bCs/>
                                <w:sz w:val="24"/>
                                <w:szCs w:val="24"/>
                              </w:rPr>
                              <w:t>are</w:t>
                            </w:r>
                            <w:r w:rsidRPr="002B0D1C">
                              <w:rPr>
                                <w:rFonts w:cstheme="minorHAnsi"/>
                                <w:bCs/>
                                <w:sz w:val="24"/>
                                <w:szCs w:val="24"/>
                              </w:rPr>
                              <w:t xml:space="preserve"> going to focus exclusively on bonds whose price moves </w:t>
                            </w:r>
                            <w:r w:rsidR="00403004" w:rsidRPr="002B0D1C">
                              <w:rPr>
                                <w:rFonts w:cstheme="minorHAnsi"/>
                                <w:bCs/>
                                <w:sz w:val="24"/>
                                <w:szCs w:val="24"/>
                              </w:rPr>
                              <w:t xml:space="preserve">as a function of interest rates (and not creditworthiness).  We will discuss </w:t>
                            </w:r>
                            <w:r w:rsidR="00C42331" w:rsidRPr="002B0D1C">
                              <w:rPr>
                                <w:rFonts w:cstheme="minorHAnsi"/>
                                <w:bCs/>
                                <w:sz w:val="24"/>
                                <w:szCs w:val="24"/>
                              </w:rPr>
                              <w:t>credit-sensitive bonds some other time.</w:t>
                            </w:r>
                          </w:p>
                          <w:p w14:paraId="509A9AB2" w14:textId="77777777" w:rsidR="00403004" w:rsidRDefault="00403004" w:rsidP="00202B97">
                            <w:pPr>
                              <w:spacing w:after="0"/>
                              <w:rPr>
                                <w:rFonts w:cstheme="minorHAnsi"/>
                                <w:bCs/>
                                <w:sz w:val="24"/>
                                <w:szCs w:val="24"/>
                              </w:rPr>
                            </w:pPr>
                          </w:p>
                          <w:p w14:paraId="0576A569" w14:textId="55323140" w:rsidR="0092547A" w:rsidRPr="00B30C3F" w:rsidRDefault="00B30C3F" w:rsidP="0092547A">
                            <w:pPr>
                              <w:spacing w:after="0"/>
                              <w:rPr>
                                <w:bCs/>
                                <w:noProof/>
                                <w:sz w:val="24"/>
                                <w:szCs w:val="24"/>
                              </w:rPr>
                            </w:pPr>
                            <w:r w:rsidRPr="00B30C3F">
                              <w:rPr>
                                <w:bCs/>
                                <w:noProof/>
                                <w:sz w:val="24"/>
                                <w:szCs w:val="24"/>
                              </w:rPr>
                              <w:t>The critical calculation for understing what to expect out of a bond is its duration.   Duration is simply an expression of how a bond is anticipated to move as a function of prevailing interest rates.</w:t>
                            </w:r>
                            <w:r w:rsidR="009B1C0F">
                              <w:rPr>
                                <w:bCs/>
                                <w:noProof/>
                                <w:sz w:val="24"/>
                                <w:szCs w:val="24"/>
                              </w:rPr>
                              <w:t xml:space="preserve"> </w:t>
                            </w:r>
                            <w:r w:rsidR="00BF6650">
                              <w:rPr>
                                <w:bCs/>
                                <w:noProof/>
                                <w:sz w:val="24"/>
                                <w:szCs w:val="24"/>
                              </w:rPr>
                              <w:t xml:space="preserve"> The chart below </w:t>
                            </w:r>
                            <w:r w:rsidR="009D527F">
                              <w:rPr>
                                <w:bCs/>
                                <w:noProof/>
                                <w:sz w:val="24"/>
                                <w:szCs w:val="24"/>
                              </w:rPr>
                              <w:t xml:space="preserve">from Bloomberg &amp; Factset illustrates how a relatively modest move in interest rates effcets </w:t>
                            </w:r>
                            <w:r w:rsidR="00FE0929">
                              <w:rPr>
                                <w:bCs/>
                                <w:noProof/>
                                <w:sz w:val="24"/>
                                <w:szCs w:val="24"/>
                              </w:rPr>
                              <w:t>different types of bonds.</w:t>
                            </w:r>
                          </w:p>
                          <w:p w14:paraId="020864CF" w14:textId="727501EC" w:rsidR="00F03151" w:rsidRDefault="00F03151" w:rsidP="00CA1463">
                            <w:pPr>
                              <w:spacing w:after="0"/>
                              <w:rPr>
                                <w:noProof/>
                                <w:sz w:val="24"/>
                                <w:szCs w:val="24"/>
                              </w:rPr>
                            </w:pPr>
                          </w:p>
                          <w:p w14:paraId="5EC8AEC0" w14:textId="6C7A13E3" w:rsidR="00F03151" w:rsidRPr="00D56962" w:rsidRDefault="00AC234B" w:rsidP="00CA1463">
                            <w:pPr>
                              <w:spacing w:after="0"/>
                              <w:rPr>
                                <w:noProof/>
                                <w:sz w:val="24"/>
                                <w:szCs w:val="24"/>
                              </w:rPr>
                            </w:pPr>
                            <w:r>
                              <w:rPr>
                                <w:noProof/>
                              </w:rPr>
                              <w:drawing>
                                <wp:inline distT="0" distB="0" distL="0" distR="0" wp14:anchorId="2259D2B8" wp14:editId="44D519F7">
                                  <wp:extent cx="3495675" cy="4914265"/>
                                  <wp:effectExtent l="76200" t="76200" r="142875" b="133985"/>
                                  <wp:docPr id="798342793" name="Picture 1" descr="A graph of a graph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342793" name="Picture 1" descr="A graph of a graph of a company&#10;&#10;Description automatically generated with medium confidence"/>
                                          <pic:cNvPicPr/>
                                        </pic:nvPicPr>
                                        <pic:blipFill>
                                          <a:blip r:embed="rId13"/>
                                          <a:stretch>
                                            <a:fillRect/>
                                          </a:stretch>
                                        </pic:blipFill>
                                        <pic:spPr>
                                          <a:xfrm>
                                            <a:off x="0" y="0"/>
                                            <a:ext cx="3502694" cy="49241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07FA6" id="Text Box 26" o:spid="_x0000_s1028" type="#_x0000_t202" style="position:absolute;left:0;text-align:left;margin-left:8.25pt;margin-top:1.55pt;width:596.25pt;height:571.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" stroked="f">
                <v:textbox>
                  <w:txbxContent>
                    <w:p w14:paraId="6461E466" w14:textId="6BD2E43C" w:rsidR="00357044" w:rsidRDefault="00202B97" w:rsidP="00202B97">
                      <w:pPr>
                        <w:spacing w:after="0"/>
                        <w:rPr>
                          <w:rFonts w:cstheme="minorHAnsi"/>
                          <w:bCs/>
                          <w:sz w:val="24"/>
                          <w:szCs w:val="24"/>
                        </w:rPr>
                      </w:pPr>
                      <w:r w:rsidRPr="002B0D1C">
                        <w:rPr>
                          <w:rFonts w:cstheme="minorHAnsi"/>
                          <w:b/>
                          <w:i/>
                          <w:iCs/>
                          <w:color w:val="0070C0"/>
                          <w:sz w:val="24"/>
                          <w:szCs w:val="24"/>
                        </w:rPr>
                        <w:t>Many of us have hear</w:t>
                      </w:r>
                      <w:r w:rsidR="00F8286F">
                        <w:rPr>
                          <w:rFonts w:cstheme="minorHAnsi"/>
                          <w:b/>
                          <w:i/>
                          <w:iCs/>
                          <w:color w:val="0070C0"/>
                          <w:sz w:val="24"/>
                          <w:szCs w:val="24"/>
                        </w:rPr>
                        <w:t>d</w:t>
                      </w:r>
                      <w:r w:rsidRPr="002B0D1C">
                        <w:rPr>
                          <w:rFonts w:cstheme="minorHAnsi"/>
                          <w:b/>
                          <w:i/>
                          <w:iCs/>
                          <w:color w:val="0070C0"/>
                          <w:sz w:val="24"/>
                          <w:szCs w:val="24"/>
                        </w:rPr>
                        <w:t xml:space="preserve"> the </w:t>
                      </w:r>
                      <w:r w:rsidR="007948A1" w:rsidRPr="002B0D1C">
                        <w:rPr>
                          <w:rFonts w:cstheme="minorHAnsi"/>
                          <w:b/>
                          <w:i/>
                          <w:iCs/>
                          <w:color w:val="0070C0"/>
                          <w:sz w:val="24"/>
                          <w:szCs w:val="24"/>
                        </w:rPr>
                        <w:t>adage</w:t>
                      </w:r>
                      <w:r w:rsidRPr="002B0D1C">
                        <w:rPr>
                          <w:rFonts w:cstheme="minorHAnsi"/>
                          <w:b/>
                          <w:i/>
                          <w:iCs/>
                          <w:color w:val="0070C0"/>
                          <w:sz w:val="24"/>
                          <w:szCs w:val="24"/>
                        </w:rPr>
                        <w:t xml:space="preserve"> that stocks price on hope and that bonds are simply math.</w:t>
                      </w:r>
                      <w:r w:rsidRPr="002B0D1C">
                        <w:rPr>
                          <w:rFonts w:cstheme="minorHAnsi"/>
                          <w:bCs/>
                          <w:color w:val="0070C0"/>
                          <w:sz w:val="24"/>
                          <w:szCs w:val="24"/>
                        </w:rPr>
                        <w:t xml:space="preserve">  </w:t>
                      </w:r>
                      <w:r>
                        <w:rPr>
                          <w:rFonts w:cstheme="minorHAnsi"/>
                          <w:bCs/>
                          <w:sz w:val="24"/>
                          <w:szCs w:val="24"/>
                        </w:rPr>
                        <w:t xml:space="preserve">While anecdotally </w:t>
                      </w:r>
                      <w:r w:rsidR="007948A1">
                        <w:rPr>
                          <w:rFonts w:cstheme="minorHAnsi"/>
                          <w:bCs/>
                          <w:sz w:val="24"/>
                          <w:szCs w:val="24"/>
                        </w:rPr>
                        <w:t>partially true, to what math are these people referring.  In the industry, we call it [creatively] “bond math.”</w:t>
                      </w:r>
                    </w:p>
                    <w:p w14:paraId="1DA5E404" w14:textId="77777777" w:rsidR="00E67462" w:rsidRDefault="00E67462" w:rsidP="00202B97">
                      <w:pPr>
                        <w:spacing w:after="0"/>
                        <w:rPr>
                          <w:rFonts w:cstheme="minorHAnsi"/>
                          <w:bCs/>
                          <w:sz w:val="24"/>
                          <w:szCs w:val="24"/>
                        </w:rPr>
                      </w:pPr>
                    </w:p>
                    <w:p w14:paraId="089E7209" w14:textId="5CF2C927" w:rsidR="00403004" w:rsidRPr="002B0D1C" w:rsidRDefault="00D112C5" w:rsidP="00202B97">
                      <w:pPr>
                        <w:spacing w:after="0"/>
                        <w:rPr>
                          <w:rFonts w:cstheme="minorHAnsi"/>
                          <w:bCs/>
                          <w:sz w:val="24"/>
                          <w:szCs w:val="24"/>
                        </w:rPr>
                      </w:pPr>
                      <w:r w:rsidRPr="002B0D1C">
                        <w:rPr>
                          <w:rFonts w:cstheme="minorHAnsi"/>
                          <w:bCs/>
                          <w:sz w:val="24"/>
                          <w:szCs w:val="24"/>
                        </w:rPr>
                        <w:t xml:space="preserve">For today’s study, we </w:t>
                      </w:r>
                      <w:r w:rsidR="00403004" w:rsidRPr="002B0D1C">
                        <w:rPr>
                          <w:rFonts w:cstheme="minorHAnsi"/>
                          <w:bCs/>
                          <w:sz w:val="24"/>
                          <w:szCs w:val="24"/>
                        </w:rPr>
                        <w:t>are</w:t>
                      </w:r>
                      <w:r w:rsidRPr="002B0D1C">
                        <w:rPr>
                          <w:rFonts w:cstheme="minorHAnsi"/>
                          <w:bCs/>
                          <w:sz w:val="24"/>
                          <w:szCs w:val="24"/>
                        </w:rPr>
                        <w:t xml:space="preserve"> going to focus exclusively on bonds whose price moves </w:t>
                      </w:r>
                      <w:r w:rsidR="00403004" w:rsidRPr="002B0D1C">
                        <w:rPr>
                          <w:rFonts w:cstheme="minorHAnsi"/>
                          <w:bCs/>
                          <w:sz w:val="24"/>
                          <w:szCs w:val="24"/>
                        </w:rPr>
                        <w:t xml:space="preserve">as a function of interest rates (and not creditworthiness).  We will discuss </w:t>
                      </w:r>
                      <w:r w:rsidR="00C42331" w:rsidRPr="002B0D1C">
                        <w:rPr>
                          <w:rFonts w:cstheme="minorHAnsi"/>
                          <w:bCs/>
                          <w:sz w:val="24"/>
                          <w:szCs w:val="24"/>
                        </w:rPr>
                        <w:t>credit-sensitive bonds some other time.</w:t>
                      </w:r>
                    </w:p>
                    <w:p w14:paraId="509A9AB2" w14:textId="77777777" w:rsidR="00403004" w:rsidRDefault="00403004" w:rsidP="00202B97">
                      <w:pPr>
                        <w:spacing w:after="0"/>
                        <w:rPr>
                          <w:rFonts w:cstheme="minorHAnsi"/>
                          <w:bCs/>
                          <w:sz w:val="24"/>
                          <w:szCs w:val="24"/>
                        </w:rPr>
                      </w:pPr>
                    </w:p>
                    <w:p w14:paraId="0576A569" w14:textId="55323140" w:rsidR="0092547A" w:rsidRPr="00B30C3F" w:rsidRDefault="00B30C3F" w:rsidP="0092547A">
                      <w:pPr>
                        <w:spacing w:after="0"/>
                        <w:rPr>
                          <w:bCs/>
                          <w:noProof/>
                          <w:sz w:val="24"/>
                          <w:szCs w:val="24"/>
                        </w:rPr>
                      </w:pPr>
                      <w:r w:rsidRPr="00B30C3F">
                        <w:rPr>
                          <w:bCs/>
                          <w:noProof/>
                          <w:sz w:val="24"/>
                          <w:szCs w:val="24"/>
                        </w:rPr>
                        <w:t>The critical calculation for understing what to expect out of a bond is its duration.   Duration is simply an expression of how a bond is anticipated to move as a function of prevailing interest rates.</w:t>
                      </w:r>
                      <w:r w:rsidR="009B1C0F">
                        <w:rPr>
                          <w:bCs/>
                          <w:noProof/>
                          <w:sz w:val="24"/>
                          <w:szCs w:val="24"/>
                        </w:rPr>
                        <w:t xml:space="preserve"> </w:t>
                      </w:r>
                      <w:r w:rsidR="00BF6650">
                        <w:rPr>
                          <w:bCs/>
                          <w:noProof/>
                          <w:sz w:val="24"/>
                          <w:szCs w:val="24"/>
                        </w:rPr>
                        <w:t xml:space="preserve"> The chart below </w:t>
                      </w:r>
                      <w:r w:rsidR="009D527F">
                        <w:rPr>
                          <w:bCs/>
                          <w:noProof/>
                          <w:sz w:val="24"/>
                          <w:szCs w:val="24"/>
                        </w:rPr>
                        <w:t xml:space="preserve">from Bloomberg &amp; Factset illustrates how a relatively modest move in interest rates effcets </w:t>
                      </w:r>
                      <w:r w:rsidR="00FE0929">
                        <w:rPr>
                          <w:bCs/>
                          <w:noProof/>
                          <w:sz w:val="24"/>
                          <w:szCs w:val="24"/>
                        </w:rPr>
                        <w:t>different types of bonds.</w:t>
                      </w:r>
                    </w:p>
                    <w:p w14:paraId="020864CF" w14:textId="727501EC" w:rsidR="00F03151" w:rsidRDefault="00F03151" w:rsidP="00CA1463">
                      <w:pPr>
                        <w:spacing w:after="0"/>
                        <w:rPr>
                          <w:noProof/>
                          <w:sz w:val="24"/>
                          <w:szCs w:val="24"/>
                        </w:rPr>
                      </w:pPr>
                    </w:p>
                    <w:p w14:paraId="5EC8AEC0" w14:textId="6C7A13E3" w:rsidR="00F03151" w:rsidRPr="00D56962" w:rsidRDefault="00AC234B" w:rsidP="00CA1463">
                      <w:pPr>
                        <w:spacing w:after="0"/>
                        <w:rPr>
                          <w:noProof/>
                          <w:sz w:val="24"/>
                          <w:szCs w:val="24"/>
                        </w:rPr>
                      </w:pPr>
                      <w:r>
                        <w:rPr>
                          <w:noProof/>
                        </w:rPr>
                        <w:drawing>
                          <wp:inline distT="0" distB="0" distL="0" distR="0" wp14:anchorId="2259D2B8" wp14:editId="44D519F7">
                            <wp:extent cx="3495675" cy="4914265"/>
                            <wp:effectExtent l="76200" t="76200" r="142875" b="133985"/>
                            <wp:docPr id="798342793" name="Picture 1" descr="A graph of a graph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342793" name="Picture 1" descr="A graph of a graph of a company&#10;&#10;Description automatically generated with medium confidence"/>
                                    <pic:cNvPicPr/>
                                  </pic:nvPicPr>
                                  <pic:blipFill>
                                    <a:blip r:embed="rId13"/>
                                    <a:stretch>
                                      <a:fillRect/>
                                    </a:stretch>
                                  </pic:blipFill>
                                  <pic:spPr>
                                    <a:xfrm>
                                      <a:off x="0" y="0"/>
                                      <a:ext cx="3502694" cy="49241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w10:wrap type="square" anchorx="margin"/>
              </v:shape>
            </w:pict>
          </mc:Fallback>
        </mc:AlternateContent>
      </w:r>
      <w:r w:rsidR="001F0C95" w:rsidRPr="00195A76">
        <w:rPr>
          <w:noProof/>
        </w:rPr>
        <mc:AlternateContent>
          <mc:Choice Requires="wps">
            <w:drawing>
              <wp:anchor distT="0" distB="0" distL="114300" distR="114300" simplePos="0" relativeHeight="251658241" behindDoc="0" locked="0" layoutInCell="1" allowOverlap="1" wp14:anchorId="09ABC5FC" wp14:editId="20A2BCFA">
                <wp:simplePos x="0" y="0"/>
                <wp:positionH relativeFrom="column">
                  <wp:posOffset>219075</wp:posOffset>
                </wp:positionH>
                <wp:positionV relativeFrom="paragraph">
                  <wp:posOffset>2658110</wp:posOffset>
                </wp:positionV>
                <wp:extent cx="7391400" cy="781050"/>
                <wp:effectExtent l="19050" t="19050" r="38100" b="38100"/>
                <wp:wrapNone/>
                <wp:docPr id="32" name="Text Box 32"/>
                <wp:cNvGraphicFramePr/>
                <a:graphic xmlns:a="http://schemas.openxmlformats.org/drawingml/2006/main">
                  <a:graphicData uri="http://schemas.microsoft.com/office/word/2010/wordprocessingShape">
                    <wps:wsp>
                      <wps:cNvSpPr txBox="1"/>
                      <wps:spPr>
                        <a:xfrm>
                          <a:off x="0" y="0"/>
                          <a:ext cx="7391400" cy="781050"/>
                        </a:xfrm>
                        <a:prstGeom prst="rect">
                          <a:avLst/>
                        </a:prstGeom>
                        <a:solidFill>
                          <a:srgbClr val="002060"/>
                        </a:solidFill>
                        <a:ln w="57150" cap="flat" cmpd="sng" algn="ctr">
                          <a:solidFill>
                            <a:srgbClr val="00B0F0"/>
                          </a:solidFill>
                          <a:prstDash val="solid"/>
                          <a:miter lim="800000"/>
                        </a:ln>
                        <a:effectLst/>
                      </wps:spPr>
                      <wps:txbx>
                        <w:txbxContent>
                          <w:p w14:paraId="54824919" w14:textId="3122F7CA" w:rsidR="00331293" w:rsidRPr="000A724C" w:rsidRDefault="001F0C95" w:rsidP="00195A76">
                            <w:pPr>
                              <w:jc w:val="center"/>
                              <w:rPr>
                                <w:color w:val="FFFFFF" w:themeColor="background1"/>
                              </w:rPr>
                            </w:pPr>
                            <w:r>
                              <w:rPr>
                                <w:color w:val="FFFFFF" w:themeColor="background1"/>
                              </w:rPr>
                              <w:t xml:space="preserve">Not only have US markets bounced back following </w:t>
                            </w:r>
                            <w:r w:rsidR="002B2024">
                              <w:rPr>
                                <w:color w:val="FFFFFF" w:themeColor="background1"/>
                              </w:rPr>
                              <w:t xml:space="preserve">major geopolitical events throughout history, but so too have non-US markets.  </w:t>
                            </w:r>
                            <w:r w:rsidR="00E1018A">
                              <w:rPr>
                                <w:color w:val="FFFFFF" w:themeColor="background1"/>
                              </w:rPr>
                              <w:t>During</w:t>
                            </w:r>
                            <w:r w:rsidR="007A3693">
                              <w:rPr>
                                <w:color w:val="FFFFFF" w:themeColor="background1"/>
                              </w:rPr>
                              <w:t xml:space="preserve"> each of these events, it seemed that things would </w:t>
                            </w:r>
                            <w:r w:rsidR="00DA69C8">
                              <w:rPr>
                                <w:color w:val="FFFFFF" w:themeColor="background1"/>
                              </w:rPr>
                              <w:t>never calm, but in each instance they did.</w:t>
                            </w:r>
                            <w:r w:rsidR="00391CC8">
                              <w:rPr>
                                <w:color w:val="FFFFFF" w:themeColor="background1"/>
                              </w:rPr>
                              <w:t xml:space="preserve">  As we reflect on the past few weeks, we concede the uniqueness of the Russian invasion and </w:t>
                            </w:r>
                            <w:r w:rsidR="00E1018A">
                              <w:rPr>
                                <w:color w:val="FFFFFF" w:themeColor="background1"/>
                              </w:rPr>
                              <w:t xml:space="preserve">maintain a watchful eye on </w:t>
                            </w:r>
                            <w:r w:rsidR="00FC1186">
                              <w:rPr>
                                <w:color w:val="FFFFFF" w:themeColor="background1"/>
                              </w:rPr>
                              <w:t>the situation</w:t>
                            </w:r>
                            <w:r w:rsidR="00E1018A">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BC5FC" id="Text Box 32" o:spid="_x0000_s1029" type="#_x0000_t202" style="position:absolute;left:0;text-align:left;margin-left:17.25pt;margin-top:209.3pt;width:582pt;height: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" fillcolor="#002060" strokecolor="#00b0f0" strokeweight="4.5pt">
                <v:textbox>
                  <w:txbxContent>
                    <w:p w14:paraId="54824919" w14:textId="3122F7CA" w:rsidR="00331293" w:rsidRPr="000A724C" w:rsidRDefault="001F0C95" w:rsidP="00195A76">
                      <w:pPr>
                        <w:jc w:val="center"/>
                        <w:rPr>
                          <w:color w:val="FFFFFF" w:themeColor="background1"/>
                        </w:rPr>
                      </w:pPr>
                      <w:r>
                        <w:rPr>
                          <w:color w:val="FFFFFF" w:themeColor="background1"/>
                        </w:rPr>
                        <w:t xml:space="preserve">Not only have US markets bounced back following </w:t>
                      </w:r>
                      <w:r w:rsidR="002B2024">
                        <w:rPr>
                          <w:color w:val="FFFFFF" w:themeColor="background1"/>
                        </w:rPr>
                        <w:t xml:space="preserve">major geopolitical events throughout history, but so too have non-US markets.  </w:t>
                      </w:r>
                      <w:r w:rsidR="00E1018A">
                        <w:rPr>
                          <w:color w:val="FFFFFF" w:themeColor="background1"/>
                        </w:rPr>
                        <w:t>During</w:t>
                      </w:r>
                      <w:r w:rsidR="007A3693">
                        <w:rPr>
                          <w:color w:val="FFFFFF" w:themeColor="background1"/>
                        </w:rPr>
                        <w:t xml:space="preserve"> each of these events, it seemed that things would </w:t>
                      </w:r>
                      <w:r w:rsidR="00DA69C8">
                        <w:rPr>
                          <w:color w:val="FFFFFF" w:themeColor="background1"/>
                        </w:rPr>
                        <w:t>never calm, but in each instance they did.</w:t>
                      </w:r>
                      <w:r w:rsidR="00391CC8">
                        <w:rPr>
                          <w:color w:val="FFFFFF" w:themeColor="background1"/>
                        </w:rPr>
                        <w:t xml:space="preserve">  As we reflect on the past few weeks, we concede the uniqueness of the Russian invasion and </w:t>
                      </w:r>
                      <w:r w:rsidR="00E1018A">
                        <w:rPr>
                          <w:color w:val="FFFFFF" w:themeColor="background1"/>
                        </w:rPr>
                        <w:t xml:space="preserve">maintain a watchful eye on </w:t>
                      </w:r>
                      <w:r w:rsidR="00FC1186">
                        <w:rPr>
                          <w:color w:val="FFFFFF" w:themeColor="background1"/>
                        </w:rPr>
                        <w:t>the situation</w:t>
                      </w:r>
                      <w:r w:rsidR="00E1018A">
                        <w:rPr>
                          <w:color w:val="FFFFFF" w:themeColor="background1"/>
                        </w:rPr>
                        <w:t>.</w:t>
                      </w:r>
                    </w:p>
                  </w:txbxContent>
                </v:textbox>
              </v:shape>
            </w:pict>
          </mc:Fallback>
        </mc:AlternateContent>
      </w:r>
    </w:p>
    <w:sectPr w:rsidR="0077227A" w:rsidSect="00BC52D7">
      <w:headerReference w:type="default" r:id="rId14"/>
      <w:footerReference w:type="default" r:id="rId15"/>
      <w:pgSz w:w="12240" w:h="15840" w:code="1"/>
      <w:pgMar w:top="0" w:right="0" w:bottom="0" w:left="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5E810" w14:textId="77777777" w:rsidR="00901BE0" w:rsidRDefault="00901BE0" w:rsidP="001A07C3">
      <w:pPr>
        <w:spacing w:after="0" w:line="240" w:lineRule="auto"/>
      </w:pPr>
      <w:r>
        <w:separator/>
      </w:r>
    </w:p>
  </w:endnote>
  <w:endnote w:type="continuationSeparator" w:id="0">
    <w:p w14:paraId="6959D5D5" w14:textId="77777777" w:rsidR="00901BE0" w:rsidRDefault="00901BE0" w:rsidP="001A07C3">
      <w:pPr>
        <w:spacing w:after="0" w:line="240" w:lineRule="auto"/>
      </w:pPr>
      <w:r>
        <w:continuationSeparator/>
      </w:r>
    </w:p>
  </w:endnote>
  <w:endnote w:type="continuationNotice" w:id="1">
    <w:p w14:paraId="16628CDE" w14:textId="77777777" w:rsidR="00901BE0" w:rsidRDefault="00901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pton-SemiBold">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E2710" w14:textId="62CE0B38" w:rsidR="008C6433" w:rsidRDefault="008C6433" w:rsidP="001A07C3">
    <w:pPr>
      <w:pStyle w:val="Footer"/>
      <w:jc w:val="center"/>
      <w:rPr>
        <w:i/>
        <w:iCs/>
        <w:sz w:val="18"/>
        <w:szCs w:val="18"/>
      </w:rPr>
    </w:pPr>
    <w:r>
      <w:rPr>
        <w:noProof/>
      </w:rPr>
      <mc:AlternateContent>
        <mc:Choice Requires="wps">
          <w:drawing>
            <wp:anchor distT="0" distB="0" distL="114300" distR="114300" simplePos="0" relativeHeight="251658243" behindDoc="0" locked="0" layoutInCell="1" allowOverlap="1" wp14:anchorId="15914188" wp14:editId="669C099C">
              <wp:simplePos x="0" y="0"/>
              <wp:positionH relativeFrom="margin">
                <wp:align>right</wp:align>
              </wp:positionH>
              <wp:positionV relativeFrom="paragraph">
                <wp:posOffset>-11431</wp:posOffset>
              </wp:positionV>
              <wp:extent cx="7772399" cy="561975"/>
              <wp:effectExtent l="0" t="0" r="635" b="9525"/>
              <wp:wrapNone/>
              <wp:docPr id="4" name="Text Box 4">
                <a:extLst xmlns:a="http://schemas.openxmlformats.org/drawingml/2006/main">
                  <a:ext uri="{FF2B5EF4-FFF2-40B4-BE49-F238E27FC236}">
                    <a16:creationId xmlns:a16="http://schemas.microsoft.com/office/drawing/2014/main" id="{6FFC0892-C9DE-4F98-94FA-AAA7E8FBB4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399" cy="561975"/>
                      </a:xfrm>
                      <a:prstGeom prst="rect">
                        <a:avLst/>
                      </a:prstGeom>
                      <a:solidFill>
                        <a:srgbClr val="465064"/>
                      </a:solidFill>
                    </wps:spPr>
                    <wps:txbx>
                      <w:txbxContent>
                        <w:p w14:paraId="72091937" w14:textId="77777777" w:rsidR="00646882" w:rsidRPr="00646882" w:rsidRDefault="008C6433" w:rsidP="00D3505D">
                          <w:pPr>
                            <w:spacing w:line="280" w:lineRule="exact"/>
                            <w:jc w:val="center"/>
                            <w:rPr>
                              <w:rFonts w:ascii="Calibri" w:eastAsia="Calibri" w:hAnsi="Calibri"/>
                              <w:b/>
                              <w:bCs/>
                              <w:color w:val="FFFFFF" w:themeColor="background1"/>
                              <w:kern w:val="24"/>
                              <w:sz w:val="32"/>
                              <w:szCs w:val="32"/>
                            </w:rPr>
                          </w:pPr>
                          <w:r w:rsidRPr="00646882">
                            <w:rPr>
                              <w:rFonts w:ascii="Calibri" w:eastAsia="Calibri" w:hAnsi="Calibri"/>
                              <w:b/>
                              <w:bCs/>
                              <w:color w:val="FFFFFF" w:themeColor="background1"/>
                              <w:kern w:val="24"/>
                              <w:sz w:val="32"/>
                              <w:szCs w:val="32"/>
                            </w:rPr>
                            <w:t>Head Investment Partners | (865) 999-5332 | www.hip3.net</w:t>
                          </w:r>
                          <w:r w:rsidR="0011752C" w:rsidRPr="00646882">
                            <w:rPr>
                              <w:rFonts w:ascii="Calibri" w:eastAsia="Calibri" w:hAnsi="Calibri"/>
                              <w:b/>
                              <w:bCs/>
                              <w:color w:val="FFFFFF" w:themeColor="background1"/>
                              <w:kern w:val="24"/>
                              <w:sz w:val="32"/>
                              <w:szCs w:val="32"/>
                            </w:rPr>
                            <w:t xml:space="preserve"> </w:t>
                          </w:r>
                        </w:p>
                        <w:p w14:paraId="2A2A8AF9" w14:textId="2DDD1147" w:rsidR="008C6433" w:rsidRPr="00646882" w:rsidRDefault="0011752C" w:rsidP="00D3505D">
                          <w:pPr>
                            <w:spacing w:line="280" w:lineRule="exact"/>
                            <w:jc w:val="center"/>
                            <w:rPr>
                              <w:rFonts w:ascii="Calibri" w:eastAsia="Calibri" w:hAnsi="Calibri"/>
                              <w:b/>
                              <w:bCs/>
                              <w:color w:val="FFFFFF" w:themeColor="background1"/>
                              <w:kern w:val="24"/>
                              <w:sz w:val="32"/>
                              <w:szCs w:val="32"/>
                              <w:lang w:val="es-ES"/>
                            </w:rPr>
                          </w:pPr>
                          <w:r w:rsidRPr="00646882">
                            <w:rPr>
                              <w:rFonts w:ascii="Calibri" w:eastAsia="Calibri" w:hAnsi="Calibri"/>
                              <w:b/>
                              <w:bCs/>
                              <w:color w:val="FFFFFF" w:themeColor="background1"/>
                              <w:kern w:val="24"/>
                              <w:sz w:val="32"/>
                              <w:szCs w:val="32"/>
                              <w:lang w:val="es-ES"/>
                            </w:rPr>
                            <w:t xml:space="preserve">2280 Valley Vista Road </w:t>
                          </w:r>
                          <w:r w:rsidR="006374FC">
                            <w:rPr>
                              <w:rFonts w:ascii="Calibri" w:eastAsia="Calibri" w:hAnsi="Calibri"/>
                              <w:b/>
                              <w:bCs/>
                              <w:color w:val="FFFFFF" w:themeColor="background1"/>
                              <w:kern w:val="24"/>
                              <w:sz w:val="32"/>
                              <w:szCs w:val="32"/>
                              <w:lang w:val="es-ES"/>
                            </w:rPr>
                            <w:t xml:space="preserve">| </w:t>
                          </w:r>
                          <w:r w:rsidRPr="00646882">
                            <w:rPr>
                              <w:rFonts w:ascii="Calibri" w:eastAsia="Calibri" w:hAnsi="Calibri"/>
                              <w:b/>
                              <w:bCs/>
                              <w:color w:val="FFFFFF" w:themeColor="background1"/>
                              <w:kern w:val="24"/>
                              <w:sz w:val="32"/>
                              <w:szCs w:val="32"/>
                              <w:lang w:val="es-ES"/>
                            </w:rPr>
                            <w:t>Knoxville, TN 37932</w:t>
                          </w:r>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15914188" id="_x0000_t202" coordsize="21600,21600" o:spt="202" path="m,l,21600r21600,l21600,xe">
              <v:stroke joinstyle="miter"/>
              <v:path gradientshapeok="t" o:connecttype="rect"/>
            </v:shapetype>
            <v:shape id="Text Box 4" o:spid="_x0000_s1032" type="#_x0000_t202" style="position:absolute;left:0;text-align:left;margin-left:560.8pt;margin-top:-.9pt;width:612pt;height:44.25pt;z-index:25165824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" fillcolor="#465064" stroked="f">
              <v:textbox>
                <w:txbxContent>
                  <w:p w14:paraId="72091937" w14:textId="77777777" w:rsidR="00646882" w:rsidRPr="00646882" w:rsidRDefault="008C6433" w:rsidP="00D3505D">
                    <w:pPr>
                      <w:spacing w:line="280" w:lineRule="exact"/>
                      <w:jc w:val="center"/>
                      <w:rPr>
                        <w:rFonts w:ascii="Calibri" w:eastAsia="Calibri" w:hAnsi="Calibri"/>
                        <w:b/>
                        <w:bCs/>
                        <w:color w:val="FFFFFF" w:themeColor="background1"/>
                        <w:kern w:val="24"/>
                        <w:sz w:val="32"/>
                        <w:szCs w:val="32"/>
                      </w:rPr>
                    </w:pPr>
                    <w:r w:rsidRPr="00646882">
                      <w:rPr>
                        <w:rFonts w:ascii="Calibri" w:eastAsia="Calibri" w:hAnsi="Calibri"/>
                        <w:b/>
                        <w:bCs/>
                        <w:color w:val="FFFFFF" w:themeColor="background1"/>
                        <w:kern w:val="24"/>
                        <w:sz w:val="32"/>
                        <w:szCs w:val="32"/>
                      </w:rPr>
                      <w:t>Head Investment Partners | (865) 999-5332 | www.hip3.net</w:t>
                    </w:r>
                    <w:r w:rsidR="0011752C" w:rsidRPr="00646882">
                      <w:rPr>
                        <w:rFonts w:ascii="Calibri" w:eastAsia="Calibri" w:hAnsi="Calibri"/>
                        <w:b/>
                        <w:bCs/>
                        <w:color w:val="FFFFFF" w:themeColor="background1"/>
                        <w:kern w:val="24"/>
                        <w:sz w:val="32"/>
                        <w:szCs w:val="32"/>
                      </w:rPr>
                      <w:t xml:space="preserve"> </w:t>
                    </w:r>
                  </w:p>
                  <w:p w14:paraId="2A2A8AF9" w14:textId="2DDD1147" w:rsidR="008C6433" w:rsidRPr="00646882" w:rsidRDefault="0011752C" w:rsidP="00D3505D">
                    <w:pPr>
                      <w:spacing w:line="280" w:lineRule="exact"/>
                      <w:jc w:val="center"/>
                      <w:rPr>
                        <w:rFonts w:ascii="Calibri" w:eastAsia="Calibri" w:hAnsi="Calibri"/>
                        <w:b/>
                        <w:bCs/>
                        <w:color w:val="FFFFFF" w:themeColor="background1"/>
                        <w:kern w:val="24"/>
                        <w:sz w:val="32"/>
                        <w:szCs w:val="32"/>
                        <w:lang w:val="es-ES"/>
                      </w:rPr>
                    </w:pPr>
                    <w:r w:rsidRPr="00646882">
                      <w:rPr>
                        <w:rFonts w:ascii="Calibri" w:eastAsia="Calibri" w:hAnsi="Calibri"/>
                        <w:b/>
                        <w:bCs/>
                        <w:color w:val="FFFFFF" w:themeColor="background1"/>
                        <w:kern w:val="24"/>
                        <w:sz w:val="32"/>
                        <w:szCs w:val="32"/>
                        <w:lang w:val="es-ES"/>
                      </w:rPr>
                      <w:t xml:space="preserve">2280 Valley Vista Road </w:t>
                    </w:r>
                    <w:r w:rsidR="006374FC">
                      <w:rPr>
                        <w:rFonts w:ascii="Calibri" w:eastAsia="Calibri" w:hAnsi="Calibri"/>
                        <w:b/>
                        <w:bCs/>
                        <w:color w:val="FFFFFF" w:themeColor="background1"/>
                        <w:kern w:val="24"/>
                        <w:sz w:val="32"/>
                        <w:szCs w:val="32"/>
                        <w:lang w:val="es-ES"/>
                      </w:rPr>
                      <w:t xml:space="preserve">| </w:t>
                    </w:r>
                    <w:r w:rsidRPr="00646882">
                      <w:rPr>
                        <w:rFonts w:ascii="Calibri" w:eastAsia="Calibri" w:hAnsi="Calibri"/>
                        <w:b/>
                        <w:bCs/>
                        <w:color w:val="FFFFFF" w:themeColor="background1"/>
                        <w:kern w:val="24"/>
                        <w:sz w:val="32"/>
                        <w:szCs w:val="32"/>
                        <w:lang w:val="es-ES"/>
                      </w:rPr>
                      <w:t>Knoxville, TN 37932</w:t>
                    </w:r>
                  </w:p>
                </w:txbxContent>
              </v:textbox>
              <w10:wrap anchorx="margin"/>
            </v:shape>
          </w:pict>
        </mc:Fallback>
      </mc:AlternateContent>
    </w:r>
  </w:p>
  <w:p w14:paraId="235CB8B8" w14:textId="77777777" w:rsidR="008C6433" w:rsidRDefault="008C6433" w:rsidP="001A07C3">
    <w:pPr>
      <w:pStyle w:val="Footer"/>
      <w:jc w:val="center"/>
      <w:rPr>
        <w:i/>
        <w:iCs/>
        <w:sz w:val="18"/>
        <w:szCs w:val="18"/>
      </w:rPr>
    </w:pPr>
  </w:p>
  <w:p w14:paraId="73195495" w14:textId="77777777" w:rsidR="008C6433" w:rsidRDefault="008C6433" w:rsidP="001A07C3">
    <w:pPr>
      <w:pStyle w:val="Footer"/>
      <w:jc w:val="center"/>
      <w:rPr>
        <w:i/>
        <w:iCs/>
        <w:sz w:val="18"/>
        <w:szCs w:val="18"/>
      </w:rPr>
    </w:pPr>
  </w:p>
  <w:p w14:paraId="29D49CC8" w14:textId="77777777" w:rsidR="00B248EB" w:rsidRDefault="00B248EB" w:rsidP="001A07C3">
    <w:pPr>
      <w:pStyle w:val="Footer"/>
      <w:jc w:val="center"/>
      <w:rPr>
        <w:i/>
        <w:iCs/>
        <w:sz w:val="18"/>
        <w:szCs w:val="18"/>
      </w:rPr>
    </w:pPr>
  </w:p>
  <w:p w14:paraId="02773892" w14:textId="77777777" w:rsidR="002F0FB7" w:rsidRDefault="002F0FB7" w:rsidP="002F0FB7">
    <w:pPr>
      <w:jc w:val="center"/>
      <w:rPr>
        <w:rFonts w:ascii="Calibri" w:hAnsi="Calibri" w:cs="Calibri"/>
        <w:i/>
        <w:iCs/>
        <w:color w:val="153D63"/>
        <w:sz w:val="16"/>
        <w:szCs w:val="16"/>
      </w:rPr>
    </w:pPr>
    <w:r>
      <w:rPr>
        <w:i/>
        <w:iCs/>
        <w:sz w:val="16"/>
        <w:szCs w:val="16"/>
      </w:rPr>
      <w:t xml:space="preserve">Past performance is not a guarantee of future results. Securities offered through </w:t>
    </w:r>
    <w:r>
      <w:rPr>
        <w:rStyle w:val="Strong"/>
        <w:i/>
        <w:iCs/>
        <w:sz w:val="16"/>
        <w:szCs w:val="16"/>
      </w:rPr>
      <w:t>Triad Advisors, LLC</w:t>
    </w:r>
    <w:r>
      <w:rPr>
        <w:i/>
        <w:iCs/>
        <w:sz w:val="16"/>
        <w:szCs w:val="16"/>
      </w:rPr>
      <w:t xml:space="preserve"> (</w:t>
    </w:r>
    <w:r>
      <w:rPr>
        <w:rStyle w:val="Strong"/>
        <w:i/>
        <w:iCs/>
        <w:sz w:val="16"/>
        <w:szCs w:val="16"/>
      </w:rPr>
      <w:t>Triad</w:t>
    </w:r>
    <w:r>
      <w:rPr>
        <w:i/>
        <w:iCs/>
        <w:sz w:val="16"/>
        <w:szCs w:val="16"/>
      </w:rPr>
      <w:t xml:space="preserve">) member FINRA/SIPC. Investment Advisory services offered through </w:t>
    </w:r>
    <w:proofErr w:type="spellStart"/>
    <w:r>
      <w:rPr>
        <w:rStyle w:val="Strong"/>
        <w:i/>
        <w:iCs/>
        <w:sz w:val="16"/>
        <w:szCs w:val="16"/>
      </w:rPr>
      <w:t>Osaic</w:t>
    </w:r>
    <w:proofErr w:type="spellEnd"/>
    <w:r>
      <w:rPr>
        <w:rStyle w:val="Strong"/>
        <w:i/>
        <w:iCs/>
        <w:sz w:val="16"/>
        <w:szCs w:val="16"/>
      </w:rPr>
      <w:t xml:space="preserve"> Advisory Services, LLC</w:t>
    </w:r>
    <w:r>
      <w:rPr>
        <w:i/>
        <w:iCs/>
        <w:sz w:val="16"/>
        <w:szCs w:val="16"/>
      </w:rPr>
      <w:t xml:space="preserve"> (</w:t>
    </w:r>
    <w:proofErr w:type="spellStart"/>
    <w:r>
      <w:rPr>
        <w:rStyle w:val="Strong"/>
        <w:i/>
        <w:iCs/>
        <w:sz w:val="16"/>
        <w:szCs w:val="16"/>
      </w:rPr>
      <w:t>Osaic</w:t>
    </w:r>
    <w:proofErr w:type="spellEnd"/>
    <w:r>
      <w:rPr>
        <w:rStyle w:val="Strong"/>
        <w:i/>
        <w:iCs/>
        <w:sz w:val="16"/>
        <w:szCs w:val="16"/>
      </w:rPr>
      <w:t xml:space="preserve"> Advisory</w:t>
    </w:r>
    <w:r>
      <w:rPr>
        <w:i/>
        <w:iCs/>
        <w:sz w:val="16"/>
        <w:szCs w:val="16"/>
      </w:rPr>
      <w:t xml:space="preserve">). </w:t>
    </w:r>
    <w:r>
      <w:rPr>
        <w:rStyle w:val="Strong"/>
        <w:i/>
        <w:iCs/>
        <w:sz w:val="16"/>
        <w:szCs w:val="16"/>
      </w:rPr>
      <w:t>Triad</w:t>
    </w:r>
    <w:r>
      <w:rPr>
        <w:i/>
        <w:iCs/>
        <w:sz w:val="16"/>
        <w:szCs w:val="16"/>
      </w:rPr>
      <w:t xml:space="preserve"> and </w:t>
    </w:r>
    <w:proofErr w:type="spellStart"/>
    <w:r>
      <w:rPr>
        <w:rStyle w:val="Strong"/>
        <w:i/>
        <w:iCs/>
        <w:sz w:val="16"/>
        <w:szCs w:val="16"/>
      </w:rPr>
      <w:t>Osaic</w:t>
    </w:r>
    <w:proofErr w:type="spellEnd"/>
    <w:r>
      <w:rPr>
        <w:rStyle w:val="Strong"/>
        <w:i/>
        <w:iCs/>
        <w:sz w:val="16"/>
        <w:szCs w:val="16"/>
      </w:rPr>
      <w:t xml:space="preserve"> Advisory</w:t>
    </w:r>
    <w:r>
      <w:rPr>
        <w:i/>
        <w:iCs/>
        <w:sz w:val="16"/>
        <w:szCs w:val="16"/>
      </w:rPr>
      <w:t xml:space="preserve"> are separately owned and other entities and/or marketing names, products or services referenced here are </w:t>
    </w:r>
    <w:r>
      <w:rPr>
        <w:i/>
        <w:iCs/>
        <w:sz w:val="16"/>
        <w:szCs w:val="16"/>
      </w:rPr>
      <w:tab/>
      <w:t xml:space="preserve">independent of </w:t>
    </w:r>
    <w:r>
      <w:rPr>
        <w:rStyle w:val="Strong"/>
        <w:i/>
        <w:iCs/>
        <w:sz w:val="16"/>
        <w:szCs w:val="16"/>
      </w:rPr>
      <w:t xml:space="preserve">Triad </w:t>
    </w:r>
    <w:r>
      <w:rPr>
        <w:i/>
        <w:iCs/>
        <w:sz w:val="16"/>
        <w:szCs w:val="16"/>
      </w:rPr>
      <w:t xml:space="preserve">and </w:t>
    </w:r>
    <w:proofErr w:type="spellStart"/>
    <w:r>
      <w:rPr>
        <w:rStyle w:val="Strong"/>
        <w:i/>
        <w:iCs/>
        <w:sz w:val="16"/>
        <w:szCs w:val="16"/>
      </w:rPr>
      <w:t>Osaic</w:t>
    </w:r>
    <w:proofErr w:type="spellEnd"/>
    <w:r>
      <w:rPr>
        <w:rStyle w:val="Strong"/>
        <w:i/>
        <w:iCs/>
        <w:sz w:val="16"/>
        <w:szCs w:val="16"/>
      </w:rPr>
      <w:t xml:space="preserve"> Advisory</w:t>
    </w:r>
    <w:r>
      <w:rPr>
        <w:i/>
        <w:iCs/>
        <w:sz w:val="16"/>
        <w:szCs w:val="16"/>
      </w:rPr>
      <w:t>.</w:t>
    </w:r>
  </w:p>
  <w:p w14:paraId="32C1F489" w14:textId="77777777" w:rsidR="002F0FB7" w:rsidRDefault="002F0FB7" w:rsidP="002F0FB7"/>
  <w:p w14:paraId="498E528A" w14:textId="77777777" w:rsidR="001A07C3" w:rsidRDefault="001A07C3" w:rsidP="002F0F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600C4" w14:textId="77777777" w:rsidR="00901BE0" w:rsidRDefault="00901BE0" w:rsidP="001A07C3">
      <w:pPr>
        <w:spacing w:after="0" w:line="240" w:lineRule="auto"/>
      </w:pPr>
      <w:r>
        <w:separator/>
      </w:r>
    </w:p>
  </w:footnote>
  <w:footnote w:type="continuationSeparator" w:id="0">
    <w:p w14:paraId="0FB10D77" w14:textId="77777777" w:rsidR="00901BE0" w:rsidRDefault="00901BE0" w:rsidP="001A07C3">
      <w:pPr>
        <w:spacing w:after="0" w:line="240" w:lineRule="auto"/>
      </w:pPr>
      <w:r>
        <w:continuationSeparator/>
      </w:r>
    </w:p>
  </w:footnote>
  <w:footnote w:type="continuationNotice" w:id="1">
    <w:p w14:paraId="37EEFB3B" w14:textId="77777777" w:rsidR="00901BE0" w:rsidRDefault="00901B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822E8" w14:textId="6DE477B0" w:rsidR="00DD6D97" w:rsidRDefault="00860E8E">
    <w:pPr>
      <w:pStyle w:val="Header"/>
    </w:pPr>
    <w:r>
      <w:rPr>
        <w:noProof/>
      </w:rPr>
      <mc:AlternateContent>
        <mc:Choice Requires="wps">
          <w:drawing>
            <wp:anchor distT="0" distB="0" distL="114300" distR="114300" simplePos="0" relativeHeight="251658244" behindDoc="0" locked="0" layoutInCell="1" allowOverlap="1" wp14:anchorId="596E2826" wp14:editId="70D09B5D">
              <wp:simplePos x="0" y="0"/>
              <wp:positionH relativeFrom="margin">
                <wp:align>left</wp:align>
              </wp:positionH>
              <wp:positionV relativeFrom="paragraph">
                <wp:posOffset>-352425</wp:posOffset>
              </wp:positionV>
              <wp:extent cx="1838960" cy="1447800"/>
              <wp:effectExtent l="0" t="0" r="889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960" cy="1447800"/>
                      </a:xfrm>
                      <a:prstGeom prst="rect">
                        <a:avLst/>
                      </a:prstGeom>
                      <a:solidFill>
                        <a:srgbClr val="465064"/>
                      </a:solidFill>
                      <a:ln w="76200">
                        <a:noFill/>
                      </a:ln>
                    </wps:spPr>
                    <wps:bodyPr vert="horz" lIns="91440" tIns="45720" rIns="91440" bIns="45720" rtlCol="0" anchor="ctr">
                      <a:normAutofit/>
                    </wps:bodyPr>
                  </wps:wsp>
                </a:graphicData>
              </a:graphic>
            </wp:anchor>
          </w:drawing>
        </mc:Choice>
        <mc:Fallback>
          <w:pict>
            <v:shapetype w14:anchorId="467FAF70" id="_x0000_t202" coordsize="21600,21600" o:spt="202" path="m,l,21600r21600,l21600,xe">
              <v:stroke joinstyle="miter"/>
              <v:path gradientshapeok="t" o:connecttype="rect"/>
            </v:shapetype>
            <v:shape id="Text Box 15" o:spid="_x0000_s1026" type="#_x0000_t202" style="position:absolute;margin-left:0;margin-top:-27.75pt;width:144.8pt;height:114pt;z-index:2516582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" fillcolor="#465064" stroked="f" strokeweight="6pt">
              <w10:wrap anchorx="margin"/>
            </v:shape>
          </w:pict>
        </mc:Fallback>
      </mc:AlternateContent>
    </w:r>
    <w:r w:rsidR="00DD6D97">
      <w:rPr>
        <w:noProof/>
      </w:rPr>
      <mc:AlternateContent>
        <mc:Choice Requires="wps">
          <w:drawing>
            <wp:anchor distT="0" distB="0" distL="114300" distR="114300" simplePos="0" relativeHeight="251658245" behindDoc="0" locked="0" layoutInCell="1" allowOverlap="1" wp14:anchorId="0A8388F9" wp14:editId="0E6BD1E7">
              <wp:simplePos x="0" y="0"/>
              <wp:positionH relativeFrom="column">
                <wp:posOffset>238125</wp:posOffset>
              </wp:positionH>
              <wp:positionV relativeFrom="paragraph">
                <wp:posOffset>-219075</wp:posOffset>
              </wp:positionV>
              <wp:extent cx="914400" cy="12001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14400" cy="1200150"/>
                      </a:xfrm>
                      <a:prstGeom prst="rect">
                        <a:avLst/>
                      </a:prstGeom>
                      <a:noFill/>
                      <a:ln w="6350">
                        <a:noFill/>
                      </a:ln>
                    </wps:spPr>
                    <wps:txbx>
                      <w:txbxContent>
                        <w:p w14:paraId="24B6938E" w14:textId="376ABD1A" w:rsidR="00DD6D97" w:rsidRDefault="00DD6D97">
                          <w:r>
                            <w:rPr>
                              <w:noProof/>
                            </w:rPr>
                            <w:drawing>
                              <wp:inline distT="0" distB="0" distL="0" distR="0" wp14:anchorId="14E54F30" wp14:editId="60C5C46D">
                                <wp:extent cx="1113155" cy="1132074"/>
                                <wp:effectExtent l="0" t="0" r="0" b="0"/>
                                <wp:docPr id="7" name="Picture 7" descr="Graphical user interface, application&#10;&#10;Description automatically generated">
                                  <a:extLst xmlns:a="http://schemas.openxmlformats.org/drawingml/2006/main">
                                    <a:ext uri="{FF2B5EF4-FFF2-40B4-BE49-F238E27FC236}">
                                      <a16:creationId xmlns:a16="http://schemas.microsoft.com/office/drawing/2014/main" id="{D27063CF-3DAE-4544-A5E3-ABA252BD5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aphical user interface, application&#10;&#10;Description automatically generated">
                                          <a:extLst>
                                            <a:ext uri="{FF2B5EF4-FFF2-40B4-BE49-F238E27FC236}">
                                              <a16:creationId xmlns:a16="http://schemas.microsoft.com/office/drawing/2014/main" id="{D27063CF-3DAE-4544-A5E3-ABA252BD5D8F}"/>
                                            </a:ext>
                                          </a:extLst>
                                        </pic:cNvPr>
                                        <pic:cNvPicPr>
                                          <a:picLocks noChangeAspect="1"/>
                                        </pic:cNvPicPr>
                                      </pic:nvPicPr>
                                      <pic:blipFill rotWithShape="1">
                                        <a:blip r:embed="rId1"/>
                                        <a:srcRect l="39905" t="42042" r="41494" b="39018"/>
                                        <a:stretch/>
                                      </pic:blipFill>
                                      <pic:spPr>
                                        <a:xfrm>
                                          <a:off x="0" y="0"/>
                                          <a:ext cx="1113155" cy="1132074"/>
                                        </a:xfrm>
                                        <a:prstGeom prst="rect">
                                          <a:avLst/>
                                        </a:prstGeom>
                                        <a:noFill/>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388F9" id="Text Box 22" o:spid="_x0000_s1030" type="#_x0000_t202" style="position:absolute;margin-left:18.75pt;margin-top:-17.25pt;width:1in;height:94.5pt;z-index:25165824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" filled="f" stroked="f" strokeweight=".5pt">
              <v:textbox>
                <w:txbxContent>
                  <w:p w14:paraId="24B6938E" w14:textId="376ABD1A" w:rsidR="00DD6D97" w:rsidRDefault="00DD6D97">
                    <w:r>
                      <w:rPr>
                        <w:noProof/>
                      </w:rPr>
                      <w:drawing>
                        <wp:inline distT="0" distB="0" distL="0" distR="0" wp14:anchorId="14E54F30" wp14:editId="60C5C46D">
                          <wp:extent cx="1113155" cy="1132074"/>
                          <wp:effectExtent l="0" t="0" r="0" b="0"/>
                          <wp:docPr id="7" name="Picture 7" descr="Graphical user interface, application&#10;&#10;Description automatically generated">
                            <a:extLst xmlns:a="http://schemas.openxmlformats.org/drawingml/2006/main">
                              <a:ext uri="{FF2B5EF4-FFF2-40B4-BE49-F238E27FC236}">
                                <a16:creationId xmlns:a16="http://schemas.microsoft.com/office/drawing/2014/main" id="{D27063CF-3DAE-4544-A5E3-ABA252BD5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aphical user interface, application&#10;&#10;Description automatically generated">
                                    <a:extLst>
                                      <a:ext uri="{FF2B5EF4-FFF2-40B4-BE49-F238E27FC236}">
                                        <a16:creationId xmlns:a16="http://schemas.microsoft.com/office/drawing/2014/main" id="{D27063CF-3DAE-4544-A5E3-ABA252BD5D8F}"/>
                                      </a:ext>
                                    </a:extLst>
                                  </pic:cNvPr>
                                  <pic:cNvPicPr>
                                    <a:picLocks noChangeAspect="1"/>
                                  </pic:cNvPicPr>
                                </pic:nvPicPr>
                                <pic:blipFill rotWithShape="1">
                                  <a:blip r:embed="rId1"/>
                                  <a:srcRect l="39905" t="42042" r="41494" b="39018"/>
                                  <a:stretch/>
                                </pic:blipFill>
                                <pic:spPr>
                                  <a:xfrm>
                                    <a:off x="0" y="0"/>
                                    <a:ext cx="1113155" cy="1132074"/>
                                  </a:xfrm>
                                  <a:prstGeom prst="rect">
                                    <a:avLst/>
                                  </a:prstGeom>
                                  <a:noFill/>
                                </pic:spPr>
                              </pic:pic>
                            </a:graphicData>
                          </a:graphic>
                        </wp:inline>
                      </w:drawing>
                    </w:r>
                  </w:p>
                </w:txbxContent>
              </v:textbox>
            </v:shape>
          </w:pict>
        </mc:Fallback>
      </mc:AlternateContent>
    </w:r>
    <w:r w:rsidR="00DD6D97">
      <w:rPr>
        <w:noProof/>
      </w:rPr>
      <mc:AlternateContent>
        <mc:Choice Requires="wps">
          <w:drawing>
            <wp:anchor distT="0" distB="0" distL="114300" distR="114300" simplePos="0" relativeHeight="251658242" behindDoc="0" locked="0" layoutInCell="1" allowOverlap="1" wp14:anchorId="012C8012" wp14:editId="2B09ED06">
              <wp:simplePos x="0" y="0"/>
              <wp:positionH relativeFrom="margin">
                <wp:align>right</wp:align>
              </wp:positionH>
              <wp:positionV relativeFrom="paragraph">
                <wp:posOffset>-253365</wp:posOffset>
              </wp:positionV>
              <wp:extent cx="5932807" cy="89214"/>
              <wp:effectExtent l="0" t="0" r="0" b="6350"/>
              <wp:wrapNone/>
              <wp:docPr id="12" name="Rectangle 12"/>
              <wp:cNvGraphicFramePr/>
              <a:graphic xmlns:a="http://schemas.openxmlformats.org/drawingml/2006/main">
                <a:graphicData uri="http://schemas.microsoft.com/office/word/2010/wordprocessingShape">
                  <wps:wsp>
                    <wps:cNvSpPr/>
                    <wps:spPr>
                      <a:xfrm>
                        <a:off x="0" y="0"/>
                        <a:ext cx="5932807" cy="89214"/>
                      </a:xfrm>
                      <a:prstGeom prst="rect">
                        <a:avLst/>
                      </a:prstGeom>
                      <a:solidFill>
                        <a:srgbClr val="46506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AB956F9" id="Rectangle 12" o:spid="_x0000_s1026" style="position:absolute;margin-left:415.95pt;margin-top:-19.95pt;width:467.15pt;height:7pt;z-index:25165824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" fillcolor="#465064" stroked="f" strokeweight="1pt">
              <w10:wrap anchorx="margin"/>
            </v:rect>
          </w:pict>
        </mc:Fallback>
      </mc:AlternateContent>
    </w:r>
    <w:r w:rsidR="00DD6D97">
      <w:rPr>
        <w:noProof/>
      </w:rPr>
      <mc:AlternateContent>
        <mc:Choice Requires="wps">
          <w:drawing>
            <wp:anchor distT="0" distB="0" distL="114300" distR="114300" simplePos="0" relativeHeight="251658240" behindDoc="0" locked="0" layoutInCell="1" allowOverlap="1" wp14:anchorId="18AC30C6" wp14:editId="0350E12F">
              <wp:simplePos x="0" y="0"/>
              <wp:positionH relativeFrom="margin">
                <wp:align>right</wp:align>
              </wp:positionH>
              <wp:positionV relativeFrom="paragraph">
                <wp:posOffset>-347345</wp:posOffset>
              </wp:positionV>
              <wp:extent cx="5946131" cy="1447800"/>
              <wp:effectExtent l="0" t="0" r="0" b="0"/>
              <wp:wrapNone/>
              <wp:docPr id="2" name="Rectangle 2">
                <a:extLst xmlns:a="http://schemas.openxmlformats.org/drawingml/2006/main">
                  <a:ext uri="{FF2B5EF4-FFF2-40B4-BE49-F238E27FC236}">
                    <a16:creationId xmlns:a16="http://schemas.microsoft.com/office/drawing/2014/main" id="{79AAC25C-85EB-41C3-A83B-014BBBAD48D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46131" cy="1447800"/>
                      </a:xfrm>
                      <a:prstGeom prst="rect">
                        <a:avLst/>
                      </a:prstGeom>
                      <a:solidFill>
                        <a:srgbClr val="BBC6C3"/>
                      </a:solidFill>
                    </wps:spPr>
                    <wps:txbx>
                      <w:txbxContent>
                        <w:p w14:paraId="75010262" w14:textId="09A6AC4B" w:rsidR="00C42C44" w:rsidRDefault="00C42C44" w:rsidP="00C42C44">
                          <w:pPr>
                            <w:spacing w:line="216" w:lineRule="auto"/>
                            <w:jc w:val="center"/>
                            <w:rPr>
                              <w:rFonts w:asciiTheme="majorHAnsi" w:eastAsiaTheme="majorEastAsia" w:hAnsi="Calibri Light" w:cstheme="majorBidi"/>
                              <w:b/>
                              <w:bCs/>
                              <w:i/>
                              <w:iCs/>
                              <w:color w:val="465064"/>
                              <w:kern w:val="24"/>
                              <w:sz w:val="44"/>
                              <w:szCs w:val="44"/>
                            </w:rPr>
                          </w:pPr>
                          <w:r>
                            <w:rPr>
                              <w:rFonts w:asciiTheme="majorHAnsi" w:eastAsiaTheme="majorEastAsia" w:hAnsi="Calibri Light" w:cstheme="majorBidi"/>
                              <w:b/>
                              <w:bCs/>
                              <w:i/>
                              <w:iCs/>
                              <w:color w:val="465064"/>
                              <w:kern w:val="24"/>
                              <w:sz w:val="44"/>
                              <w:szCs w:val="44"/>
                            </w:rPr>
                            <w:t>Confidence</w:t>
                          </w:r>
                          <w:r w:rsidR="00254B0D">
                            <w:rPr>
                              <w:rFonts w:asciiTheme="majorHAnsi" w:eastAsiaTheme="majorEastAsia" w:hAnsi="Calibri Light" w:cstheme="majorBidi"/>
                              <w:b/>
                              <w:bCs/>
                              <w:i/>
                              <w:iCs/>
                              <w:color w:val="465064"/>
                              <w:kern w:val="24"/>
                              <w:sz w:val="44"/>
                              <w:szCs w:val="44"/>
                            </w:rPr>
                            <w:t xml:space="preserve"> in </w:t>
                          </w:r>
                          <w:r w:rsidR="005170D6">
                            <w:rPr>
                              <w:rFonts w:asciiTheme="majorHAnsi" w:eastAsiaTheme="majorEastAsia" w:hAnsi="Calibri Light" w:cstheme="majorBidi"/>
                              <w:b/>
                              <w:bCs/>
                              <w:i/>
                              <w:iCs/>
                              <w:color w:val="465064"/>
                              <w:kern w:val="24"/>
                              <w:sz w:val="44"/>
                              <w:szCs w:val="44"/>
                            </w:rPr>
                            <w:t>Your Investments</w:t>
                          </w:r>
                          <w:r>
                            <w:rPr>
                              <w:rFonts w:asciiTheme="majorHAnsi" w:eastAsiaTheme="majorEastAsia" w:hAnsi="Calibri Light" w:cstheme="majorBidi"/>
                              <w:b/>
                              <w:bCs/>
                              <w:i/>
                              <w:iCs/>
                              <w:color w:val="465064"/>
                              <w:kern w:val="24"/>
                              <w:sz w:val="44"/>
                              <w:szCs w:val="44"/>
                            </w:rPr>
                            <w:t xml:space="preserve">: </w:t>
                          </w:r>
                          <w:r>
                            <w:rPr>
                              <w:rFonts w:asciiTheme="majorHAnsi" w:eastAsiaTheme="majorEastAsia" w:hAnsi="Calibri Light" w:cstheme="majorBidi"/>
                              <w:b/>
                              <w:bCs/>
                              <w:i/>
                              <w:iCs/>
                              <w:color w:val="465064"/>
                              <w:kern w:val="24"/>
                              <w:sz w:val="44"/>
                              <w:szCs w:val="44"/>
                            </w:rPr>
                            <w:br/>
                            <w:t>Retirement Plans, Financial Planning &amp; Wealth Management</w:t>
                          </w:r>
                        </w:p>
                      </w:txbxContent>
                    </wps:txbx>
                    <wps:bodyPr vert="horz" lIns="91440" tIns="45720" rIns="91440" bIns="45720" rtlCol="0" anchor="ctr">
                      <a:noAutofit/>
                    </wps:bodyPr>
                  </wps:wsp>
                </a:graphicData>
              </a:graphic>
            </wp:anchor>
          </w:drawing>
        </mc:Choice>
        <mc:Fallback>
          <w:pict>
            <v:rect w14:anchorId="18AC30C6" id="Rectangle 2" o:spid="_x0000_s1031" style="position:absolute;margin-left:417pt;margin-top:-27.35pt;width:468.2pt;height:114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" fillcolor="#bbc6c3" stroked="f">
              <o:lock v:ext="edit" grouping="t"/>
              <v:textbox>
                <w:txbxContent>
                  <w:p w14:paraId="75010262" w14:textId="09A6AC4B" w:rsidR="00C42C44" w:rsidRDefault="00C42C44" w:rsidP="00C42C44">
                    <w:pPr>
                      <w:spacing w:line="216" w:lineRule="auto"/>
                      <w:jc w:val="center"/>
                      <w:rPr>
                        <w:rFonts w:asciiTheme="majorHAnsi" w:eastAsiaTheme="majorEastAsia" w:hAnsi="Calibri Light" w:cstheme="majorBidi"/>
                        <w:b/>
                        <w:bCs/>
                        <w:i/>
                        <w:iCs/>
                        <w:color w:val="465064"/>
                        <w:kern w:val="24"/>
                        <w:sz w:val="44"/>
                        <w:szCs w:val="44"/>
                      </w:rPr>
                    </w:pPr>
                    <w:r>
                      <w:rPr>
                        <w:rFonts w:asciiTheme="majorHAnsi" w:eastAsiaTheme="majorEastAsia" w:hAnsi="Calibri Light" w:cstheme="majorBidi"/>
                        <w:b/>
                        <w:bCs/>
                        <w:i/>
                        <w:iCs/>
                        <w:color w:val="465064"/>
                        <w:kern w:val="24"/>
                        <w:sz w:val="44"/>
                        <w:szCs w:val="44"/>
                      </w:rPr>
                      <w:t>Confidence</w:t>
                    </w:r>
                    <w:r w:rsidR="00254B0D">
                      <w:rPr>
                        <w:rFonts w:asciiTheme="majorHAnsi" w:eastAsiaTheme="majorEastAsia" w:hAnsi="Calibri Light" w:cstheme="majorBidi"/>
                        <w:b/>
                        <w:bCs/>
                        <w:i/>
                        <w:iCs/>
                        <w:color w:val="465064"/>
                        <w:kern w:val="24"/>
                        <w:sz w:val="44"/>
                        <w:szCs w:val="44"/>
                      </w:rPr>
                      <w:t xml:space="preserve"> in </w:t>
                    </w:r>
                    <w:r w:rsidR="005170D6">
                      <w:rPr>
                        <w:rFonts w:asciiTheme="majorHAnsi" w:eastAsiaTheme="majorEastAsia" w:hAnsi="Calibri Light" w:cstheme="majorBidi"/>
                        <w:b/>
                        <w:bCs/>
                        <w:i/>
                        <w:iCs/>
                        <w:color w:val="465064"/>
                        <w:kern w:val="24"/>
                        <w:sz w:val="44"/>
                        <w:szCs w:val="44"/>
                      </w:rPr>
                      <w:t>Your Investments</w:t>
                    </w:r>
                    <w:r>
                      <w:rPr>
                        <w:rFonts w:asciiTheme="majorHAnsi" w:eastAsiaTheme="majorEastAsia" w:hAnsi="Calibri Light" w:cstheme="majorBidi"/>
                        <w:b/>
                        <w:bCs/>
                        <w:i/>
                        <w:iCs/>
                        <w:color w:val="465064"/>
                        <w:kern w:val="24"/>
                        <w:sz w:val="44"/>
                        <w:szCs w:val="44"/>
                      </w:rPr>
                      <w:t xml:space="preserve">: </w:t>
                    </w:r>
                    <w:r>
                      <w:rPr>
                        <w:rFonts w:asciiTheme="majorHAnsi" w:eastAsiaTheme="majorEastAsia" w:hAnsi="Calibri Light" w:cstheme="majorBidi"/>
                        <w:b/>
                        <w:bCs/>
                        <w:i/>
                        <w:iCs/>
                        <w:color w:val="465064"/>
                        <w:kern w:val="24"/>
                        <w:sz w:val="44"/>
                        <w:szCs w:val="44"/>
                      </w:rPr>
                      <w:br/>
                      <w:t>Retirement Plans, Financial Planning &amp; Wealth Management</w:t>
                    </w:r>
                  </w:p>
                </w:txbxContent>
              </v:textbox>
              <w10:wrap anchorx="margin"/>
            </v:rect>
          </w:pict>
        </mc:Fallback>
      </mc:AlternateContent>
    </w:r>
  </w:p>
  <w:p w14:paraId="63A3B130" w14:textId="5D3ECB3E" w:rsidR="00DD6D97" w:rsidRDefault="00DD6D97">
    <w:pPr>
      <w:pStyle w:val="Header"/>
    </w:pPr>
  </w:p>
  <w:p w14:paraId="10D25AD8" w14:textId="023AFF16" w:rsidR="00DD6D97" w:rsidRDefault="00DD6D97">
    <w:pPr>
      <w:pStyle w:val="Header"/>
    </w:pPr>
  </w:p>
  <w:p w14:paraId="55AD8A2F" w14:textId="77777777" w:rsidR="00DD6D97" w:rsidRDefault="00DD6D97">
    <w:pPr>
      <w:pStyle w:val="Header"/>
    </w:pPr>
  </w:p>
  <w:p w14:paraId="41C67543" w14:textId="6FE49468" w:rsidR="00DD6D97" w:rsidRDefault="00DD6D97">
    <w:pPr>
      <w:pStyle w:val="Header"/>
    </w:pPr>
  </w:p>
  <w:p w14:paraId="108F9159" w14:textId="714B3AA6" w:rsidR="00DD6D97" w:rsidRDefault="00DD6D97">
    <w:pPr>
      <w:pStyle w:val="Header"/>
    </w:pPr>
    <w:r>
      <w:rPr>
        <w:noProof/>
      </w:rPr>
      <mc:AlternateContent>
        <mc:Choice Requires="wps">
          <w:drawing>
            <wp:anchor distT="0" distB="0" distL="114300" distR="114300" simplePos="0" relativeHeight="251658241" behindDoc="0" locked="0" layoutInCell="1" allowOverlap="1" wp14:anchorId="28CB1394" wp14:editId="23040FA1">
              <wp:simplePos x="0" y="0"/>
              <wp:positionH relativeFrom="margin">
                <wp:align>right</wp:align>
              </wp:positionH>
              <wp:positionV relativeFrom="paragraph">
                <wp:posOffset>68580</wp:posOffset>
              </wp:positionV>
              <wp:extent cx="5932807" cy="89214"/>
              <wp:effectExtent l="0" t="0" r="10795" b="25400"/>
              <wp:wrapNone/>
              <wp:docPr id="14" name="Rectangle 14">
                <a:extLst xmlns:a="http://schemas.openxmlformats.org/drawingml/2006/main">
                  <a:ext uri="{FF2B5EF4-FFF2-40B4-BE49-F238E27FC236}">
                    <a16:creationId xmlns:a16="http://schemas.microsoft.com/office/drawing/2014/main" id="{920D0DED-5189-4C1F-865D-F2DBD6C3ECA2}"/>
                  </a:ext>
                </a:extLst>
              </wp:docPr>
              <wp:cNvGraphicFramePr/>
              <a:graphic xmlns:a="http://schemas.openxmlformats.org/drawingml/2006/main">
                <a:graphicData uri="http://schemas.microsoft.com/office/word/2010/wordprocessingShape">
                  <wps:wsp>
                    <wps:cNvSpPr/>
                    <wps:spPr>
                      <a:xfrm>
                        <a:off x="0" y="0"/>
                        <a:ext cx="5932807" cy="89214"/>
                      </a:xfrm>
                      <a:prstGeom prst="rect">
                        <a:avLst/>
                      </a:prstGeom>
                      <a:solidFill>
                        <a:srgbClr val="465064"/>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010844" id="Rectangle 14" o:spid="_x0000_s1026" style="position:absolute;margin-left:415.95pt;margin-top:5.4pt;width:467.15pt;height:7pt;z-index:251658241;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" fillcolor="#465064" strokecolor="#1f3763 [1604]" strokeweight="1pt">
              <w10:wrap anchorx="margin"/>
            </v:rect>
          </w:pict>
        </mc:Fallback>
      </mc:AlternateContent>
    </w:r>
  </w:p>
  <w:p w14:paraId="32351B45" w14:textId="4C9EB41A" w:rsidR="001A07C3" w:rsidRDefault="001A0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17EF4"/>
    <w:multiLevelType w:val="hybridMultilevel"/>
    <w:tmpl w:val="34BC7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43074"/>
    <w:multiLevelType w:val="hybridMultilevel"/>
    <w:tmpl w:val="F7DEB2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964FB"/>
    <w:multiLevelType w:val="hybridMultilevel"/>
    <w:tmpl w:val="6630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00C1"/>
    <w:multiLevelType w:val="hybridMultilevel"/>
    <w:tmpl w:val="3A9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7684"/>
    <w:multiLevelType w:val="hybridMultilevel"/>
    <w:tmpl w:val="82C2BDBA"/>
    <w:lvl w:ilvl="0" w:tplc="1EDC3FC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77D60"/>
    <w:multiLevelType w:val="hybridMultilevel"/>
    <w:tmpl w:val="437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24651"/>
    <w:multiLevelType w:val="hybridMultilevel"/>
    <w:tmpl w:val="95EE3842"/>
    <w:lvl w:ilvl="0" w:tplc="97B23678">
      <w:start w:val="1"/>
      <w:numFmt w:val="decimal"/>
      <w:lvlText w:val="%1."/>
      <w:lvlJc w:val="left"/>
      <w:pPr>
        <w:ind w:left="900" w:hanging="360"/>
      </w:pPr>
      <w:rPr>
        <w:rFonts w:hint="default"/>
        <w:vertAlign w:val="super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F915570"/>
    <w:multiLevelType w:val="hybridMultilevel"/>
    <w:tmpl w:val="F38E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A7D9E"/>
    <w:multiLevelType w:val="hybridMultilevel"/>
    <w:tmpl w:val="F104D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57ED0"/>
    <w:multiLevelType w:val="hybridMultilevel"/>
    <w:tmpl w:val="6CD82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C4222"/>
    <w:multiLevelType w:val="hybridMultilevel"/>
    <w:tmpl w:val="BD865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93255"/>
    <w:multiLevelType w:val="hybridMultilevel"/>
    <w:tmpl w:val="51689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252A3"/>
    <w:multiLevelType w:val="hybridMultilevel"/>
    <w:tmpl w:val="F092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61C2B"/>
    <w:multiLevelType w:val="hybridMultilevel"/>
    <w:tmpl w:val="850A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4370B"/>
    <w:multiLevelType w:val="hybridMultilevel"/>
    <w:tmpl w:val="E2DA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56132"/>
    <w:multiLevelType w:val="hybridMultilevel"/>
    <w:tmpl w:val="EE64F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616BF"/>
    <w:multiLevelType w:val="hybridMultilevel"/>
    <w:tmpl w:val="AA367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75772"/>
    <w:multiLevelType w:val="hybridMultilevel"/>
    <w:tmpl w:val="EBC43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241083">
    <w:abstractNumId w:val="14"/>
  </w:num>
  <w:num w:numId="2" w16cid:durableId="279915714">
    <w:abstractNumId w:val="11"/>
  </w:num>
  <w:num w:numId="3" w16cid:durableId="1384211215">
    <w:abstractNumId w:val="13"/>
  </w:num>
  <w:num w:numId="4" w16cid:durableId="710610314">
    <w:abstractNumId w:val="4"/>
  </w:num>
  <w:num w:numId="5" w16cid:durableId="1361586233">
    <w:abstractNumId w:val="2"/>
  </w:num>
  <w:num w:numId="6" w16cid:durableId="1292858367">
    <w:abstractNumId w:val="1"/>
  </w:num>
  <w:num w:numId="7" w16cid:durableId="1488013140">
    <w:abstractNumId w:val="0"/>
  </w:num>
  <w:num w:numId="8" w16cid:durableId="419373707">
    <w:abstractNumId w:val="15"/>
  </w:num>
  <w:num w:numId="9" w16cid:durableId="48067887">
    <w:abstractNumId w:val="17"/>
  </w:num>
  <w:num w:numId="10" w16cid:durableId="2068335274">
    <w:abstractNumId w:val="8"/>
  </w:num>
  <w:num w:numId="11" w16cid:durableId="1484011000">
    <w:abstractNumId w:val="12"/>
  </w:num>
  <w:num w:numId="12" w16cid:durableId="228420308">
    <w:abstractNumId w:val="6"/>
  </w:num>
  <w:num w:numId="13" w16cid:durableId="1538664617">
    <w:abstractNumId w:val="3"/>
  </w:num>
  <w:num w:numId="14" w16cid:durableId="1532498976">
    <w:abstractNumId w:val="9"/>
  </w:num>
  <w:num w:numId="15" w16cid:durableId="1116876411">
    <w:abstractNumId w:val="10"/>
  </w:num>
  <w:num w:numId="16" w16cid:durableId="1077092124">
    <w:abstractNumId w:val="7"/>
  </w:num>
  <w:num w:numId="17" w16cid:durableId="886794379">
    <w:abstractNumId w:val="16"/>
  </w:num>
  <w:num w:numId="18" w16cid:durableId="1959676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C3"/>
    <w:rsid w:val="00007095"/>
    <w:rsid w:val="00007A76"/>
    <w:rsid w:val="00010136"/>
    <w:rsid w:val="00010967"/>
    <w:rsid w:val="000125B7"/>
    <w:rsid w:val="00017A89"/>
    <w:rsid w:val="0002113E"/>
    <w:rsid w:val="0002239B"/>
    <w:rsid w:val="00030F27"/>
    <w:rsid w:val="00031E5C"/>
    <w:rsid w:val="00032181"/>
    <w:rsid w:val="00034AFC"/>
    <w:rsid w:val="000350F8"/>
    <w:rsid w:val="00036774"/>
    <w:rsid w:val="00036887"/>
    <w:rsid w:val="000372D4"/>
    <w:rsid w:val="00037762"/>
    <w:rsid w:val="000408F4"/>
    <w:rsid w:val="00041207"/>
    <w:rsid w:val="00041CE0"/>
    <w:rsid w:val="00042973"/>
    <w:rsid w:val="000443D9"/>
    <w:rsid w:val="000444FE"/>
    <w:rsid w:val="00045CF0"/>
    <w:rsid w:val="000536F5"/>
    <w:rsid w:val="00054326"/>
    <w:rsid w:val="00055374"/>
    <w:rsid w:val="00055B6C"/>
    <w:rsid w:val="00056BAD"/>
    <w:rsid w:val="000611A5"/>
    <w:rsid w:val="00063093"/>
    <w:rsid w:val="00066B46"/>
    <w:rsid w:val="00066BB2"/>
    <w:rsid w:val="00067022"/>
    <w:rsid w:val="00067302"/>
    <w:rsid w:val="00070946"/>
    <w:rsid w:val="00071382"/>
    <w:rsid w:val="00072942"/>
    <w:rsid w:val="000753A9"/>
    <w:rsid w:val="000764D7"/>
    <w:rsid w:val="0007699F"/>
    <w:rsid w:val="000779DB"/>
    <w:rsid w:val="00077C7A"/>
    <w:rsid w:val="00082091"/>
    <w:rsid w:val="00082456"/>
    <w:rsid w:val="00082BEF"/>
    <w:rsid w:val="0008379C"/>
    <w:rsid w:val="00085200"/>
    <w:rsid w:val="0008764D"/>
    <w:rsid w:val="00090ADD"/>
    <w:rsid w:val="000918F2"/>
    <w:rsid w:val="000955CD"/>
    <w:rsid w:val="0009605A"/>
    <w:rsid w:val="00096D7D"/>
    <w:rsid w:val="000A112F"/>
    <w:rsid w:val="000A33E6"/>
    <w:rsid w:val="000A4D5C"/>
    <w:rsid w:val="000A65DE"/>
    <w:rsid w:val="000A6A32"/>
    <w:rsid w:val="000A724C"/>
    <w:rsid w:val="000A78DB"/>
    <w:rsid w:val="000A7BDB"/>
    <w:rsid w:val="000B0484"/>
    <w:rsid w:val="000B0F45"/>
    <w:rsid w:val="000B16F4"/>
    <w:rsid w:val="000B2AB5"/>
    <w:rsid w:val="000B3649"/>
    <w:rsid w:val="000B391E"/>
    <w:rsid w:val="000B3AD4"/>
    <w:rsid w:val="000B4C2D"/>
    <w:rsid w:val="000B6B40"/>
    <w:rsid w:val="000C15D3"/>
    <w:rsid w:val="000C24AD"/>
    <w:rsid w:val="000C4007"/>
    <w:rsid w:val="000C496E"/>
    <w:rsid w:val="000C6888"/>
    <w:rsid w:val="000C6E08"/>
    <w:rsid w:val="000D0B27"/>
    <w:rsid w:val="000D293B"/>
    <w:rsid w:val="000D42EA"/>
    <w:rsid w:val="000D52E9"/>
    <w:rsid w:val="000E2056"/>
    <w:rsid w:val="000E3DB1"/>
    <w:rsid w:val="000E5D1D"/>
    <w:rsid w:val="000F142D"/>
    <w:rsid w:val="000F43A2"/>
    <w:rsid w:val="000F585E"/>
    <w:rsid w:val="00100A57"/>
    <w:rsid w:val="001015F7"/>
    <w:rsid w:val="0010302F"/>
    <w:rsid w:val="00103570"/>
    <w:rsid w:val="00104005"/>
    <w:rsid w:val="00104915"/>
    <w:rsid w:val="00106E98"/>
    <w:rsid w:val="00107F48"/>
    <w:rsid w:val="00110BCD"/>
    <w:rsid w:val="001114DF"/>
    <w:rsid w:val="00115FAB"/>
    <w:rsid w:val="0011600E"/>
    <w:rsid w:val="0011752C"/>
    <w:rsid w:val="00117694"/>
    <w:rsid w:val="0012021D"/>
    <w:rsid w:val="00120E85"/>
    <w:rsid w:val="001252CA"/>
    <w:rsid w:val="001314CB"/>
    <w:rsid w:val="00131659"/>
    <w:rsid w:val="00132644"/>
    <w:rsid w:val="00133349"/>
    <w:rsid w:val="00136836"/>
    <w:rsid w:val="0013712D"/>
    <w:rsid w:val="001372A6"/>
    <w:rsid w:val="001402E0"/>
    <w:rsid w:val="00143DCF"/>
    <w:rsid w:val="0014460C"/>
    <w:rsid w:val="00144685"/>
    <w:rsid w:val="00150129"/>
    <w:rsid w:val="00151130"/>
    <w:rsid w:val="001525DF"/>
    <w:rsid w:val="00156698"/>
    <w:rsid w:val="0015722D"/>
    <w:rsid w:val="00161DB8"/>
    <w:rsid w:val="00163851"/>
    <w:rsid w:val="00163AC6"/>
    <w:rsid w:val="00172C75"/>
    <w:rsid w:val="0017455A"/>
    <w:rsid w:val="00176BD7"/>
    <w:rsid w:val="001804CE"/>
    <w:rsid w:val="00181FE5"/>
    <w:rsid w:val="0018284C"/>
    <w:rsid w:val="00184006"/>
    <w:rsid w:val="00187E3E"/>
    <w:rsid w:val="00190031"/>
    <w:rsid w:val="001919F5"/>
    <w:rsid w:val="00193793"/>
    <w:rsid w:val="00193A36"/>
    <w:rsid w:val="00195781"/>
    <w:rsid w:val="00195A76"/>
    <w:rsid w:val="00195B53"/>
    <w:rsid w:val="001A07C3"/>
    <w:rsid w:val="001A0A3D"/>
    <w:rsid w:val="001A790C"/>
    <w:rsid w:val="001B0738"/>
    <w:rsid w:val="001B211D"/>
    <w:rsid w:val="001B2DCE"/>
    <w:rsid w:val="001B379D"/>
    <w:rsid w:val="001B49A9"/>
    <w:rsid w:val="001C0750"/>
    <w:rsid w:val="001C49DC"/>
    <w:rsid w:val="001C5CC7"/>
    <w:rsid w:val="001C6E80"/>
    <w:rsid w:val="001D2DBC"/>
    <w:rsid w:val="001D2EEB"/>
    <w:rsid w:val="001D2F6A"/>
    <w:rsid w:val="001D419F"/>
    <w:rsid w:val="001D4D71"/>
    <w:rsid w:val="001D5B69"/>
    <w:rsid w:val="001D7B7D"/>
    <w:rsid w:val="001D7BF9"/>
    <w:rsid w:val="001E0ED1"/>
    <w:rsid w:val="001E1330"/>
    <w:rsid w:val="001E43B4"/>
    <w:rsid w:val="001E4B2E"/>
    <w:rsid w:val="001E64F5"/>
    <w:rsid w:val="001E6696"/>
    <w:rsid w:val="001F0C95"/>
    <w:rsid w:val="001F3797"/>
    <w:rsid w:val="001F4394"/>
    <w:rsid w:val="001F6356"/>
    <w:rsid w:val="00201A02"/>
    <w:rsid w:val="002022D7"/>
    <w:rsid w:val="00202B97"/>
    <w:rsid w:val="00203A0F"/>
    <w:rsid w:val="00204264"/>
    <w:rsid w:val="00205DA6"/>
    <w:rsid w:val="00206DB7"/>
    <w:rsid w:val="00207571"/>
    <w:rsid w:val="00210299"/>
    <w:rsid w:val="00210308"/>
    <w:rsid w:val="002104C9"/>
    <w:rsid w:val="0021191F"/>
    <w:rsid w:val="00222E2E"/>
    <w:rsid w:val="002259ED"/>
    <w:rsid w:val="00227B9A"/>
    <w:rsid w:val="00236550"/>
    <w:rsid w:val="00236755"/>
    <w:rsid w:val="002419A3"/>
    <w:rsid w:val="00242562"/>
    <w:rsid w:val="00244CC2"/>
    <w:rsid w:val="00246F71"/>
    <w:rsid w:val="0025087A"/>
    <w:rsid w:val="002525DE"/>
    <w:rsid w:val="00254B0D"/>
    <w:rsid w:val="00256F6B"/>
    <w:rsid w:val="00257921"/>
    <w:rsid w:val="00261606"/>
    <w:rsid w:val="002622DA"/>
    <w:rsid w:val="0026293A"/>
    <w:rsid w:val="00263748"/>
    <w:rsid w:val="00264035"/>
    <w:rsid w:val="00266DE9"/>
    <w:rsid w:val="0026728C"/>
    <w:rsid w:val="00267482"/>
    <w:rsid w:val="002714D5"/>
    <w:rsid w:val="0027348E"/>
    <w:rsid w:val="00273955"/>
    <w:rsid w:val="002800CD"/>
    <w:rsid w:val="0028115E"/>
    <w:rsid w:val="00281232"/>
    <w:rsid w:val="00282920"/>
    <w:rsid w:val="00283558"/>
    <w:rsid w:val="002838D0"/>
    <w:rsid w:val="00283A71"/>
    <w:rsid w:val="00286526"/>
    <w:rsid w:val="0028686F"/>
    <w:rsid w:val="00294AFF"/>
    <w:rsid w:val="002A0B94"/>
    <w:rsid w:val="002A294D"/>
    <w:rsid w:val="002A5B76"/>
    <w:rsid w:val="002A6925"/>
    <w:rsid w:val="002B05E2"/>
    <w:rsid w:val="002B0879"/>
    <w:rsid w:val="002B0D1C"/>
    <w:rsid w:val="002B13DD"/>
    <w:rsid w:val="002B1B6D"/>
    <w:rsid w:val="002B2024"/>
    <w:rsid w:val="002B2582"/>
    <w:rsid w:val="002B56F1"/>
    <w:rsid w:val="002B61C5"/>
    <w:rsid w:val="002B6D59"/>
    <w:rsid w:val="002B70E7"/>
    <w:rsid w:val="002C2BB4"/>
    <w:rsid w:val="002C2BB6"/>
    <w:rsid w:val="002C49EE"/>
    <w:rsid w:val="002C5386"/>
    <w:rsid w:val="002C684F"/>
    <w:rsid w:val="002D0C0C"/>
    <w:rsid w:val="002D2BD2"/>
    <w:rsid w:val="002E0C03"/>
    <w:rsid w:val="002E1206"/>
    <w:rsid w:val="002E1938"/>
    <w:rsid w:val="002E2C0D"/>
    <w:rsid w:val="002E474D"/>
    <w:rsid w:val="002E615A"/>
    <w:rsid w:val="002E6511"/>
    <w:rsid w:val="002E665D"/>
    <w:rsid w:val="002E7030"/>
    <w:rsid w:val="002E7E0B"/>
    <w:rsid w:val="002F0715"/>
    <w:rsid w:val="002F0FB7"/>
    <w:rsid w:val="002F1AC6"/>
    <w:rsid w:val="002F3848"/>
    <w:rsid w:val="002F3FDE"/>
    <w:rsid w:val="00300FD8"/>
    <w:rsid w:val="003025D0"/>
    <w:rsid w:val="0030310C"/>
    <w:rsid w:val="003055E7"/>
    <w:rsid w:val="00306E50"/>
    <w:rsid w:val="00307B0C"/>
    <w:rsid w:val="00307FE9"/>
    <w:rsid w:val="00310597"/>
    <w:rsid w:val="00310C10"/>
    <w:rsid w:val="00313146"/>
    <w:rsid w:val="00314666"/>
    <w:rsid w:val="00315A0D"/>
    <w:rsid w:val="00322885"/>
    <w:rsid w:val="00325318"/>
    <w:rsid w:val="00326617"/>
    <w:rsid w:val="00326881"/>
    <w:rsid w:val="00331293"/>
    <w:rsid w:val="00332C0A"/>
    <w:rsid w:val="003338C8"/>
    <w:rsid w:val="00334676"/>
    <w:rsid w:val="0033518D"/>
    <w:rsid w:val="00335CF3"/>
    <w:rsid w:val="0034163C"/>
    <w:rsid w:val="003426C4"/>
    <w:rsid w:val="00342CE5"/>
    <w:rsid w:val="00343FB9"/>
    <w:rsid w:val="003442BA"/>
    <w:rsid w:val="0034443C"/>
    <w:rsid w:val="003470A6"/>
    <w:rsid w:val="00347BFB"/>
    <w:rsid w:val="00347E79"/>
    <w:rsid w:val="00351ACB"/>
    <w:rsid w:val="003527DA"/>
    <w:rsid w:val="003534D0"/>
    <w:rsid w:val="0035493A"/>
    <w:rsid w:val="00357044"/>
    <w:rsid w:val="0036085F"/>
    <w:rsid w:val="00360A28"/>
    <w:rsid w:val="00363683"/>
    <w:rsid w:val="00363FDB"/>
    <w:rsid w:val="0036783E"/>
    <w:rsid w:val="00367E08"/>
    <w:rsid w:val="00372457"/>
    <w:rsid w:val="003826FE"/>
    <w:rsid w:val="00383138"/>
    <w:rsid w:val="00383A5F"/>
    <w:rsid w:val="003856B5"/>
    <w:rsid w:val="00391CC8"/>
    <w:rsid w:val="00393108"/>
    <w:rsid w:val="003940BF"/>
    <w:rsid w:val="00394437"/>
    <w:rsid w:val="00394852"/>
    <w:rsid w:val="003A1E64"/>
    <w:rsid w:val="003A405D"/>
    <w:rsid w:val="003A59C9"/>
    <w:rsid w:val="003A7EA1"/>
    <w:rsid w:val="003B21EF"/>
    <w:rsid w:val="003B63D2"/>
    <w:rsid w:val="003C1BE8"/>
    <w:rsid w:val="003C3362"/>
    <w:rsid w:val="003C3431"/>
    <w:rsid w:val="003D0D10"/>
    <w:rsid w:val="003D4EF2"/>
    <w:rsid w:val="003D5503"/>
    <w:rsid w:val="003D5EC9"/>
    <w:rsid w:val="003E3ACF"/>
    <w:rsid w:val="003E3CBD"/>
    <w:rsid w:val="003E79CF"/>
    <w:rsid w:val="003F3F7A"/>
    <w:rsid w:val="003F5577"/>
    <w:rsid w:val="003F6EF1"/>
    <w:rsid w:val="00400446"/>
    <w:rsid w:val="00403004"/>
    <w:rsid w:val="00403E1E"/>
    <w:rsid w:val="00404C7F"/>
    <w:rsid w:val="00404D4C"/>
    <w:rsid w:val="00405767"/>
    <w:rsid w:val="00406342"/>
    <w:rsid w:val="00406415"/>
    <w:rsid w:val="0040646A"/>
    <w:rsid w:val="0040690F"/>
    <w:rsid w:val="00407636"/>
    <w:rsid w:val="004135E5"/>
    <w:rsid w:val="00414889"/>
    <w:rsid w:val="004150B0"/>
    <w:rsid w:val="00415743"/>
    <w:rsid w:val="00415779"/>
    <w:rsid w:val="00423E9B"/>
    <w:rsid w:val="004248A6"/>
    <w:rsid w:val="00426EBC"/>
    <w:rsid w:val="00430919"/>
    <w:rsid w:val="00430E10"/>
    <w:rsid w:val="00431D42"/>
    <w:rsid w:val="004338E0"/>
    <w:rsid w:val="00435302"/>
    <w:rsid w:val="004353F2"/>
    <w:rsid w:val="00437A24"/>
    <w:rsid w:val="004403CD"/>
    <w:rsid w:val="0044353C"/>
    <w:rsid w:val="0044774D"/>
    <w:rsid w:val="004512E7"/>
    <w:rsid w:val="00453630"/>
    <w:rsid w:val="004543BD"/>
    <w:rsid w:val="004558C7"/>
    <w:rsid w:val="00456DA4"/>
    <w:rsid w:val="00456DBF"/>
    <w:rsid w:val="004676AF"/>
    <w:rsid w:val="00467869"/>
    <w:rsid w:val="00467E9C"/>
    <w:rsid w:val="004700AC"/>
    <w:rsid w:val="004710AA"/>
    <w:rsid w:val="0047378D"/>
    <w:rsid w:val="004743DA"/>
    <w:rsid w:val="00480AFD"/>
    <w:rsid w:val="004833B2"/>
    <w:rsid w:val="004872D4"/>
    <w:rsid w:val="004911D0"/>
    <w:rsid w:val="0049157F"/>
    <w:rsid w:val="004928AF"/>
    <w:rsid w:val="004948ED"/>
    <w:rsid w:val="00495986"/>
    <w:rsid w:val="00497024"/>
    <w:rsid w:val="004A54AB"/>
    <w:rsid w:val="004B2A62"/>
    <w:rsid w:val="004B2D4C"/>
    <w:rsid w:val="004B3BA2"/>
    <w:rsid w:val="004B439D"/>
    <w:rsid w:val="004B4BB3"/>
    <w:rsid w:val="004B521E"/>
    <w:rsid w:val="004B55F4"/>
    <w:rsid w:val="004B7095"/>
    <w:rsid w:val="004B7D8B"/>
    <w:rsid w:val="004C02B6"/>
    <w:rsid w:val="004C1074"/>
    <w:rsid w:val="004C1695"/>
    <w:rsid w:val="004C408E"/>
    <w:rsid w:val="004C6FA1"/>
    <w:rsid w:val="004D1B80"/>
    <w:rsid w:val="004D1BDF"/>
    <w:rsid w:val="004D6184"/>
    <w:rsid w:val="004E044B"/>
    <w:rsid w:val="004E0A89"/>
    <w:rsid w:val="004E1A8E"/>
    <w:rsid w:val="004E2B20"/>
    <w:rsid w:val="004E31F2"/>
    <w:rsid w:val="004E4352"/>
    <w:rsid w:val="004E4970"/>
    <w:rsid w:val="004E5BDD"/>
    <w:rsid w:val="004E66CF"/>
    <w:rsid w:val="004F2BAA"/>
    <w:rsid w:val="004F3741"/>
    <w:rsid w:val="004F54BB"/>
    <w:rsid w:val="004F6724"/>
    <w:rsid w:val="004F6A5A"/>
    <w:rsid w:val="005011C2"/>
    <w:rsid w:val="00503DFB"/>
    <w:rsid w:val="005049FE"/>
    <w:rsid w:val="005065E8"/>
    <w:rsid w:val="005100A0"/>
    <w:rsid w:val="005122C5"/>
    <w:rsid w:val="005167C5"/>
    <w:rsid w:val="005170D6"/>
    <w:rsid w:val="00523BE3"/>
    <w:rsid w:val="00525C91"/>
    <w:rsid w:val="00527F17"/>
    <w:rsid w:val="00531895"/>
    <w:rsid w:val="0053411D"/>
    <w:rsid w:val="00535C35"/>
    <w:rsid w:val="00541BC1"/>
    <w:rsid w:val="005442C6"/>
    <w:rsid w:val="00554018"/>
    <w:rsid w:val="00555551"/>
    <w:rsid w:val="0055766D"/>
    <w:rsid w:val="00562A12"/>
    <w:rsid w:val="00563A4D"/>
    <w:rsid w:val="00565F3B"/>
    <w:rsid w:val="00567452"/>
    <w:rsid w:val="00570B2C"/>
    <w:rsid w:val="00571269"/>
    <w:rsid w:val="00571D0E"/>
    <w:rsid w:val="00572802"/>
    <w:rsid w:val="00573AA8"/>
    <w:rsid w:val="00574274"/>
    <w:rsid w:val="005827A4"/>
    <w:rsid w:val="00584733"/>
    <w:rsid w:val="0058604F"/>
    <w:rsid w:val="00586715"/>
    <w:rsid w:val="00590021"/>
    <w:rsid w:val="00591486"/>
    <w:rsid w:val="00594DB1"/>
    <w:rsid w:val="00596EEC"/>
    <w:rsid w:val="005A048D"/>
    <w:rsid w:val="005A2631"/>
    <w:rsid w:val="005A2973"/>
    <w:rsid w:val="005A29C4"/>
    <w:rsid w:val="005A45C1"/>
    <w:rsid w:val="005A460E"/>
    <w:rsid w:val="005B183E"/>
    <w:rsid w:val="005B372E"/>
    <w:rsid w:val="005B52A8"/>
    <w:rsid w:val="005C5B39"/>
    <w:rsid w:val="005D0387"/>
    <w:rsid w:val="005D26DD"/>
    <w:rsid w:val="005E1702"/>
    <w:rsid w:val="005E179C"/>
    <w:rsid w:val="005E3B19"/>
    <w:rsid w:val="005E5ED5"/>
    <w:rsid w:val="005E6DC9"/>
    <w:rsid w:val="005E7AFF"/>
    <w:rsid w:val="005F11A1"/>
    <w:rsid w:val="005F154B"/>
    <w:rsid w:val="005F177E"/>
    <w:rsid w:val="005F1962"/>
    <w:rsid w:val="005F63E0"/>
    <w:rsid w:val="005F76EE"/>
    <w:rsid w:val="00600405"/>
    <w:rsid w:val="00600AB7"/>
    <w:rsid w:val="00601643"/>
    <w:rsid w:val="00602152"/>
    <w:rsid w:val="006032B4"/>
    <w:rsid w:val="006035D5"/>
    <w:rsid w:val="00603767"/>
    <w:rsid w:val="0060458F"/>
    <w:rsid w:val="00610A97"/>
    <w:rsid w:val="00610BD4"/>
    <w:rsid w:val="006118CD"/>
    <w:rsid w:val="00611BBA"/>
    <w:rsid w:val="00611D06"/>
    <w:rsid w:val="00612023"/>
    <w:rsid w:val="006129E6"/>
    <w:rsid w:val="00616F79"/>
    <w:rsid w:val="006170EE"/>
    <w:rsid w:val="00622110"/>
    <w:rsid w:val="00622C2C"/>
    <w:rsid w:val="00622FA9"/>
    <w:rsid w:val="00623F64"/>
    <w:rsid w:val="0062404D"/>
    <w:rsid w:val="006248B3"/>
    <w:rsid w:val="00625894"/>
    <w:rsid w:val="0062650B"/>
    <w:rsid w:val="006271AD"/>
    <w:rsid w:val="00627A31"/>
    <w:rsid w:val="00632768"/>
    <w:rsid w:val="00636933"/>
    <w:rsid w:val="00636F94"/>
    <w:rsid w:val="006374FC"/>
    <w:rsid w:val="00641279"/>
    <w:rsid w:val="006425CB"/>
    <w:rsid w:val="00642C96"/>
    <w:rsid w:val="0064531C"/>
    <w:rsid w:val="00645FFF"/>
    <w:rsid w:val="00646882"/>
    <w:rsid w:val="00647100"/>
    <w:rsid w:val="0064791E"/>
    <w:rsid w:val="00650408"/>
    <w:rsid w:val="006521B7"/>
    <w:rsid w:val="00652531"/>
    <w:rsid w:val="006529F1"/>
    <w:rsid w:val="00654BE7"/>
    <w:rsid w:val="00655CD1"/>
    <w:rsid w:val="00657835"/>
    <w:rsid w:val="00657A12"/>
    <w:rsid w:val="00657AF2"/>
    <w:rsid w:val="00671CCE"/>
    <w:rsid w:val="0067219A"/>
    <w:rsid w:val="00675AE4"/>
    <w:rsid w:val="0068055E"/>
    <w:rsid w:val="00680807"/>
    <w:rsid w:val="0068099A"/>
    <w:rsid w:val="00681ACC"/>
    <w:rsid w:val="00681F30"/>
    <w:rsid w:val="00682679"/>
    <w:rsid w:val="00682DDE"/>
    <w:rsid w:val="00685650"/>
    <w:rsid w:val="00686B7B"/>
    <w:rsid w:val="006915BB"/>
    <w:rsid w:val="00692E53"/>
    <w:rsid w:val="00694A40"/>
    <w:rsid w:val="00695C3C"/>
    <w:rsid w:val="00695FFF"/>
    <w:rsid w:val="00697B93"/>
    <w:rsid w:val="006A3BDF"/>
    <w:rsid w:val="006A4855"/>
    <w:rsid w:val="006A4D5A"/>
    <w:rsid w:val="006A79BE"/>
    <w:rsid w:val="006B1FC3"/>
    <w:rsid w:val="006B204A"/>
    <w:rsid w:val="006B4424"/>
    <w:rsid w:val="006B6583"/>
    <w:rsid w:val="006C1EAC"/>
    <w:rsid w:val="006C268D"/>
    <w:rsid w:val="006C3C80"/>
    <w:rsid w:val="006C5536"/>
    <w:rsid w:val="006C5764"/>
    <w:rsid w:val="006C5A1B"/>
    <w:rsid w:val="006C5C25"/>
    <w:rsid w:val="006D260F"/>
    <w:rsid w:val="006D39DF"/>
    <w:rsid w:val="006D55B1"/>
    <w:rsid w:val="006E04EE"/>
    <w:rsid w:val="006E060C"/>
    <w:rsid w:val="006E089F"/>
    <w:rsid w:val="006E0FAF"/>
    <w:rsid w:val="006E5B3F"/>
    <w:rsid w:val="006E679B"/>
    <w:rsid w:val="006E69E0"/>
    <w:rsid w:val="006E6C3A"/>
    <w:rsid w:val="006F0851"/>
    <w:rsid w:val="006F498C"/>
    <w:rsid w:val="006F503E"/>
    <w:rsid w:val="00700DAC"/>
    <w:rsid w:val="00703197"/>
    <w:rsid w:val="007033E2"/>
    <w:rsid w:val="00705680"/>
    <w:rsid w:val="007067C8"/>
    <w:rsid w:val="00711236"/>
    <w:rsid w:val="00712919"/>
    <w:rsid w:val="0071507D"/>
    <w:rsid w:val="00721A29"/>
    <w:rsid w:val="00722E78"/>
    <w:rsid w:val="00724D92"/>
    <w:rsid w:val="00730478"/>
    <w:rsid w:val="007329E1"/>
    <w:rsid w:val="00733368"/>
    <w:rsid w:val="00734E2D"/>
    <w:rsid w:val="00743382"/>
    <w:rsid w:val="007450AC"/>
    <w:rsid w:val="007470A2"/>
    <w:rsid w:val="00747153"/>
    <w:rsid w:val="00750446"/>
    <w:rsid w:val="007509E4"/>
    <w:rsid w:val="00750FCE"/>
    <w:rsid w:val="007575CA"/>
    <w:rsid w:val="00757FA2"/>
    <w:rsid w:val="00761D70"/>
    <w:rsid w:val="007620D4"/>
    <w:rsid w:val="00762918"/>
    <w:rsid w:val="00763B1C"/>
    <w:rsid w:val="00763E65"/>
    <w:rsid w:val="00770BA6"/>
    <w:rsid w:val="0077227A"/>
    <w:rsid w:val="00772437"/>
    <w:rsid w:val="00772DAC"/>
    <w:rsid w:val="00772DE7"/>
    <w:rsid w:val="00773F38"/>
    <w:rsid w:val="00775D95"/>
    <w:rsid w:val="00775F96"/>
    <w:rsid w:val="007766B5"/>
    <w:rsid w:val="007770D5"/>
    <w:rsid w:val="00777DD2"/>
    <w:rsid w:val="00783902"/>
    <w:rsid w:val="00784D73"/>
    <w:rsid w:val="00785814"/>
    <w:rsid w:val="007860F4"/>
    <w:rsid w:val="007861BE"/>
    <w:rsid w:val="007875DA"/>
    <w:rsid w:val="0079231D"/>
    <w:rsid w:val="0079367F"/>
    <w:rsid w:val="007948A1"/>
    <w:rsid w:val="0079536D"/>
    <w:rsid w:val="00796350"/>
    <w:rsid w:val="0079723B"/>
    <w:rsid w:val="00797969"/>
    <w:rsid w:val="007A0289"/>
    <w:rsid w:val="007A27DF"/>
    <w:rsid w:val="007A3693"/>
    <w:rsid w:val="007A3D21"/>
    <w:rsid w:val="007A6A9A"/>
    <w:rsid w:val="007B3263"/>
    <w:rsid w:val="007B5203"/>
    <w:rsid w:val="007B5E02"/>
    <w:rsid w:val="007C0031"/>
    <w:rsid w:val="007C0456"/>
    <w:rsid w:val="007C18AD"/>
    <w:rsid w:val="007C6343"/>
    <w:rsid w:val="007D17A2"/>
    <w:rsid w:val="007D2616"/>
    <w:rsid w:val="007D5D2C"/>
    <w:rsid w:val="007D5E62"/>
    <w:rsid w:val="007D7B09"/>
    <w:rsid w:val="007E0E58"/>
    <w:rsid w:val="007E2E4A"/>
    <w:rsid w:val="007E386C"/>
    <w:rsid w:val="007E3A5A"/>
    <w:rsid w:val="007E561A"/>
    <w:rsid w:val="007F0207"/>
    <w:rsid w:val="007F2893"/>
    <w:rsid w:val="007F2F67"/>
    <w:rsid w:val="007F3480"/>
    <w:rsid w:val="007F570C"/>
    <w:rsid w:val="007F57A7"/>
    <w:rsid w:val="0080015A"/>
    <w:rsid w:val="00801C11"/>
    <w:rsid w:val="00804CBB"/>
    <w:rsid w:val="00806BAE"/>
    <w:rsid w:val="008077CF"/>
    <w:rsid w:val="00812283"/>
    <w:rsid w:val="008139CF"/>
    <w:rsid w:val="008179B5"/>
    <w:rsid w:val="008217E6"/>
    <w:rsid w:val="00823984"/>
    <w:rsid w:val="008275E9"/>
    <w:rsid w:val="00827CBB"/>
    <w:rsid w:val="008322CB"/>
    <w:rsid w:val="00832E01"/>
    <w:rsid w:val="00840F96"/>
    <w:rsid w:val="00844215"/>
    <w:rsid w:val="00844C10"/>
    <w:rsid w:val="00844E8F"/>
    <w:rsid w:val="008458AB"/>
    <w:rsid w:val="0084678A"/>
    <w:rsid w:val="008509B2"/>
    <w:rsid w:val="00856296"/>
    <w:rsid w:val="008577BA"/>
    <w:rsid w:val="00860E8E"/>
    <w:rsid w:val="008653CC"/>
    <w:rsid w:val="00871597"/>
    <w:rsid w:val="00871749"/>
    <w:rsid w:val="00873779"/>
    <w:rsid w:val="00874840"/>
    <w:rsid w:val="008753A4"/>
    <w:rsid w:val="00875517"/>
    <w:rsid w:val="00880E6A"/>
    <w:rsid w:val="008853F9"/>
    <w:rsid w:val="008864E5"/>
    <w:rsid w:val="00887974"/>
    <w:rsid w:val="00891F15"/>
    <w:rsid w:val="0089511D"/>
    <w:rsid w:val="008958A9"/>
    <w:rsid w:val="008972EA"/>
    <w:rsid w:val="00897F39"/>
    <w:rsid w:val="008A22A2"/>
    <w:rsid w:val="008A339C"/>
    <w:rsid w:val="008A56A1"/>
    <w:rsid w:val="008A5B08"/>
    <w:rsid w:val="008A6F4C"/>
    <w:rsid w:val="008B28D0"/>
    <w:rsid w:val="008B31E2"/>
    <w:rsid w:val="008B3BE0"/>
    <w:rsid w:val="008B4DB5"/>
    <w:rsid w:val="008B5405"/>
    <w:rsid w:val="008B58DD"/>
    <w:rsid w:val="008B74B0"/>
    <w:rsid w:val="008C1B4A"/>
    <w:rsid w:val="008C274D"/>
    <w:rsid w:val="008C2C91"/>
    <w:rsid w:val="008C397F"/>
    <w:rsid w:val="008C4F0B"/>
    <w:rsid w:val="008C5692"/>
    <w:rsid w:val="008C5938"/>
    <w:rsid w:val="008C6433"/>
    <w:rsid w:val="008C64A0"/>
    <w:rsid w:val="008C6D0C"/>
    <w:rsid w:val="008D01E1"/>
    <w:rsid w:val="008D1635"/>
    <w:rsid w:val="008D4D36"/>
    <w:rsid w:val="008D5D75"/>
    <w:rsid w:val="008D6CE5"/>
    <w:rsid w:val="008D78FF"/>
    <w:rsid w:val="008E0230"/>
    <w:rsid w:val="008E2A5C"/>
    <w:rsid w:val="008E4964"/>
    <w:rsid w:val="008E4AFF"/>
    <w:rsid w:val="008E53B7"/>
    <w:rsid w:val="008E54AF"/>
    <w:rsid w:val="008E6262"/>
    <w:rsid w:val="008E7204"/>
    <w:rsid w:val="008E75D4"/>
    <w:rsid w:val="008F009C"/>
    <w:rsid w:val="008F0B3F"/>
    <w:rsid w:val="008F372F"/>
    <w:rsid w:val="008F4DD0"/>
    <w:rsid w:val="00901BE0"/>
    <w:rsid w:val="0090219D"/>
    <w:rsid w:val="009025EE"/>
    <w:rsid w:val="00903DF3"/>
    <w:rsid w:val="00904742"/>
    <w:rsid w:val="00904955"/>
    <w:rsid w:val="00905148"/>
    <w:rsid w:val="0091409D"/>
    <w:rsid w:val="00914859"/>
    <w:rsid w:val="0091490E"/>
    <w:rsid w:val="00914A10"/>
    <w:rsid w:val="00915080"/>
    <w:rsid w:val="009156DE"/>
    <w:rsid w:val="00917A22"/>
    <w:rsid w:val="0092075B"/>
    <w:rsid w:val="00921514"/>
    <w:rsid w:val="00921689"/>
    <w:rsid w:val="00922199"/>
    <w:rsid w:val="00922B44"/>
    <w:rsid w:val="0092547A"/>
    <w:rsid w:val="009259B7"/>
    <w:rsid w:val="00925A77"/>
    <w:rsid w:val="00927C0E"/>
    <w:rsid w:val="00930580"/>
    <w:rsid w:val="00931C80"/>
    <w:rsid w:val="00932330"/>
    <w:rsid w:val="00934176"/>
    <w:rsid w:val="00934605"/>
    <w:rsid w:val="009400C0"/>
    <w:rsid w:val="00941523"/>
    <w:rsid w:val="00945324"/>
    <w:rsid w:val="00951427"/>
    <w:rsid w:val="00952283"/>
    <w:rsid w:val="009537D3"/>
    <w:rsid w:val="00961C4D"/>
    <w:rsid w:val="00962347"/>
    <w:rsid w:val="00970702"/>
    <w:rsid w:val="00972C96"/>
    <w:rsid w:val="00974C56"/>
    <w:rsid w:val="009759FC"/>
    <w:rsid w:val="00984149"/>
    <w:rsid w:val="00984427"/>
    <w:rsid w:val="00984866"/>
    <w:rsid w:val="00986A9D"/>
    <w:rsid w:val="0098773F"/>
    <w:rsid w:val="009916D3"/>
    <w:rsid w:val="00993994"/>
    <w:rsid w:val="00994C43"/>
    <w:rsid w:val="009A0CDE"/>
    <w:rsid w:val="009A74E1"/>
    <w:rsid w:val="009A7B23"/>
    <w:rsid w:val="009B0ABA"/>
    <w:rsid w:val="009B1C0F"/>
    <w:rsid w:val="009B2EA7"/>
    <w:rsid w:val="009B3D09"/>
    <w:rsid w:val="009B5234"/>
    <w:rsid w:val="009B61D9"/>
    <w:rsid w:val="009B69C6"/>
    <w:rsid w:val="009C0E91"/>
    <w:rsid w:val="009C4223"/>
    <w:rsid w:val="009C4AC6"/>
    <w:rsid w:val="009C54C0"/>
    <w:rsid w:val="009C644F"/>
    <w:rsid w:val="009C651D"/>
    <w:rsid w:val="009C6F37"/>
    <w:rsid w:val="009D3F4A"/>
    <w:rsid w:val="009D46D5"/>
    <w:rsid w:val="009D4C0C"/>
    <w:rsid w:val="009D527F"/>
    <w:rsid w:val="009D5A2D"/>
    <w:rsid w:val="009D62D5"/>
    <w:rsid w:val="009E4E92"/>
    <w:rsid w:val="009E5E2B"/>
    <w:rsid w:val="009E70C1"/>
    <w:rsid w:val="009E7C5D"/>
    <w:rsid w:val="009F489C"/>
    <w:rsid w:val="009F4969"/>
    <w:rsid w:val="009F67A4"/>
    <w:rsid w:val="009F7A87"/>
    <w:rsid w:val="00A0245D"/>
    <w:rsid w:val="00A04319"/>
    <w:rsid w:val="00A0477D"/>
    <w:rsid w:val="00A057BC"/>
    <w:rsid w:val="00A05D40"/>
    <w:rsid w:val="00A06057"/>
    <w:rsid w:val="00A113A9"/>
    <w:rsid w:val="00A119B0"/>
    <w:rsid w:val="00A12976"/>
    <w:rsid w:val="00A15D51"/>
    <w:rsid w:val="00A16AC8"/>
    <w:rsid w:val="00A1704A"/>
    <w:rsid w:val="00A20BD0"/>
    <w:rsid w:val="00A22CEE"/>
    <w:rsid w:val="00A24904"/>
    <w:rsid w:val="00A252D2"/>
    <w:rsid w:val="00A26C91"/>
    <w:rsid w:val="00A3123D"/>
    <w:rsid w:val="00A33D19"/>
    <w:rsid w:val="00A34352"/>
    <w:rsid w:val="00A3692C"/>
    <w:rsid w:val="00A41C84"/>
    <w:rsid w:val="00A44A97"/>
    <w:rsid w:val="00A467C4"/>
    <w:rsid w:val="00A4691C"/>
    <w:rsid w:val="00A475D2"/>
    <w:rsid w:val="00A5264C"/>
    <w:rsid w:val="00A57C7A"/>
    <w:rsid w:val="00A60848"/>
    <w:rsid w:val="00A61104"/>
    <w:rsid w:val="00A62BEA"/>
    <w:rsid w:val="00A63A93"/>
    <w:rsid w:val="00A65040"/>
    <w:rsid w:val="00A67598"/>
    <w:rsid w:val="00A71CA0"/>
    <w:rsid w:val="00A737F3"/>
    <w:rsid w:val="00A76C26"/>
    <w:rsid w:val="00A80272"/>
    <w:rsid w:val="00A828D4"/>
    <w:rsid w:val="00A84142"/>
    <w:rsid w:val="00A85880"/>
    <w:rsid w:val="00A86277"/>
    <w:rsid w:val="00A872DB"/>
    <w:rsid w:val="00A87958"/>
    <w:rsid w:val="00A90A84"/>
    <w:rsid w:val="00A90BAD"/>
    <w:rsid w:val="00A924B5"/>
    <w:rsid w:val="00A92771"/>
    <w:rsid w:val="00A930C9"/>
    <w:rsid w:val="00A968D6"/>
    <w:rsid w:val="00AA0487"/>
    <w:rsid w:val="00AA2BF3"/>
    <w:rsid w:val="00AA48D1"/>
    <w:rsid w:val="00AA4B4F"/>
    <w:rsid w:val="00AA57D2"/>
    <w:rsid w:val="00AA75B1"/>
    <w:rsid w:val="00AB03A3"/>
    <w:rsid w:val="00AB2579"/>
    <w:rsid w:val="00AB553C"/>
    <w:rsid w:val="00AB5EB6"/>
    <w:rsid w:val="00AB6C10"/>
    <w:rsid w:val="00AB775B"/>
    <w:rsid w:val="00AC072B"/>
    <w:rsid w:val="00AC0C7B"/>
    <w:rsid w:val="00AC234B"/>
    <w:rsid w:val="00AC27E3"/>
    <w:rsid w:val="00AC2ACA"/>
    <w:rsid w:val="00AC35CE"/>
    <w:rsid w:val="00AC42B4"/>
    <w:rsid w:val="00AC6479"/>
    <w:rsid w:val="00AD1BA4"/>
    <w:rsid w:val="00AD4DA1"/>
    <w:rsid w:val="00AD5D0C"/>
    <w:rsid w:val="00AD609C"/>
    <w:rsid w:val="00AE130F"/>
    <w:rsid w:val="00AE1EC8"/>
    <w:rsid w:val="00AE3F43"/>
    <w:rsid w:val="00AE4572"/>
    <w:rsid w:val="00AE578B"/>
    <w:rsid w:val="00AF128E"/>
    <w:rsid w:val="00AF215C"/>
    <w:rsid w:val="00AF2392"/>
    <w:rsid w:val="00AF738E"/>
    <w:rsid w:val="00B00FF5"/>
    <w:rsid w:val="00B04397"/>
    <w:rsid w:val="00B0603F"/>
    <w:rsid w:val="00B06AA6"/>
    <w:rsid w:val="00B115B0"/>
    <w:rsid w:val="00B12562"/>
    <w:rsid w:val="00B133A0"/>
    <w:rsid w:val="00B1498F"/>
    <w:rsid w:val="00B170BA"/>
    <w:rsid w:val="00B20A28"/>
    <w:rsid w:val="00B23D4E"/>
    <w:rsid w:val="00B23DC5"/>
    <w:rsid w:val="00B248EB"/>
    <w:rsid w:val="00B309DD"/>
    <w:rsid w:val="00B30C3F"/>
    <w:rsid w:val="00B32FC0"/>
    <w:rsid w:val="00B40291"/>
    <w:rsid w:val="00B41AA1"/>
    <w:rsid w:val="00B45A6B"/>
    <w:rsid w:val="00B5185D"/>
    <w:rsid w:val="00B530A5"/>
    <w:rsid w:val="00B55DD0"/>
    <w:rsid w:val="00B62E4E"/>
    <w:rsid w:val="00B64779"/>
    <w:rsid w:val="00B65F3B"/>
    <w:rsid w:val="00B663A2"/>
    <w:rsid w:val="00B71B1B"/>
    <w:rsid w:val="00B725A2"/>
    <w:rsid w:val="00B7580D"/>
    <w:rsid w:val="00B76EFB"/>
    <w:rsid w:val="00B80B47"/>
    <w:rsid w:val="00B83395"/>
    <w:rsid w:val="00B843BF"/>
    <w:rsid w:val="00B868B3"/>
    <w:rsid w:val="00B87178"/>
    <w:rsid w:val="00B87CEB"/>
    <w:rsid w:val="00B92226"/>
    <w:rsid w:val="00B969E3"/>
    <w:rsid w:val="00B975BF"/>
    <w:rsid w:val="00BA1178"/>
    <w:rsid w:val="00BA1661"/>
    <w:rsid w:val="00BA45D1"/>
    <w:rsid w:val="00BA6E79"/>
    <w:rsid w:val="00BA76A1"/>
    <w:rsid w:val="00BB0547"/>
    <w:rsid w:val="00BB4BD8"/>
    <w:rsid w:val="00BB5FF1"/>
    <w:rsid w:val="00BC06FA"/>
    <w:rsid w:val="00BC1E1B"/>
    <w:rsid w:val="00BC394B"/>
    <w:rsid w:val="00BC52D7"/>
    <w:rsid w:val="00BC7D92"/>
    <w:rsid w:val="00BD0492"/>
    <w:rsid w:val="00BD04FF"/>
    <w:rsid w:val="00BD05DC"/>
    <w:rsid w:val="00BD163A"/>
    <w:rsid w:val="00BD2016"/>
    <w:rsid w:val="00BD25CA"/>
    <w:rsid w:val="00BD3A24"/>
    <w:rsid w:val="00BD6527"/>
    <w:rsid w:val="00BD6C85"/>
    <w:rsid w:val="00BD6FEB"/>
    <w:rsid w:val="00BE06ED"/>
    <w:rsid w:val="00BE1B71"/>
    <w:rsid w:val="00BE2E4B"/>
    <w:rsid w:val="00BE35AC"/>
    <w:rsid w:val="00BE3CAA"/>
    <w:rsid w:val="00BE7299"/>
    <w:rsid w:val="00BE7595"/>
    <w:rsid w:val="00BF0AD8"/>
    <w:rsid w:val="00BF0EF7"/>
    <w:rsid w:val="00BF1CD9"/>
    <w:rsid w:val="00BF2169"/>
    <w:rsid w:val="00BF4CF4"/>
    <w:rsid w:val="00BF59BD"/>
    <w:rsid w:val="00BF6650"/>
    <w:rsid w:val="00BF67D6"/>
    <w:rsid w:val="00BF6FBA"/>
    <w:rsid w:val="00C03D76"/>
    <w:rsid w:val="00C0440D"/>
    <w:rsid w:val="00C04E7F"/>
    <w:rsid w:val="00C065A5"/>
    <w:rsid w:val="00C10BE7"/>
    <w:rsid w:val="00C1214E"/>
    <w:rsid w:val="00C14342"/>
    <w:rsid w:val="00C14804"/>
    <w:rsid w:val="00C17471"/>
    <w:rsid w:val="00C177AE"/>
    <w:rsid w:val="00C17E8A"/>
    <w:rsid w:val="00C250B8"/>
    <w:rsid w:val="00C36524"/>
    <w:rsid w:val="00C372D4"/>
    <w:rsid w:val="00C41908"/>
    <w:rsid w:val="00C41C62"/>
    <w:rsid w:val="00C42331"/>
    <w:rsid w:val="00C42C44"/>
    <w:rsid w:val="00C4375B"/>
    <w:rsid w:val="00C439D6"/>
    <w:rsid w:val="00C44C4F"/>
    <w:rsid w:val="00C451B1"/>
    <w:rsid w:val="00C45E61"/>
    <w:rsid w:val="00C470A0"/>
    <w:rsid w:val="00C47587"/>
    <w:rsid w:val="00C47811"/>
    <w:rsid w:val="00C51A44"/>
    <w:rsid w:val="00C52CD9"/>
    <w:rsid w:val="00C5371C"/>
    <w:rsid w:val="00C551AD"/>
    <w:rsid w:val="00C5559D"/>
    <w:rsid w:val="00C55BC8"/>
    <w:rsid w:val="00C62EBA"/>
    <w:rsid w:val="00C63843"/>
    <w:rsid w:val="00C63C01"/>
    <w:rsid w:val="00C6687E"/>
    <w:rsid w:val="00C71F31"/>
    <w:rsid w:val="00C81EB2"/>
    <w:rsid w:val="00C83F38"/>
    <w:rsid w:val="00C840C6"/>
    <w:rsid w:val="00C84D7F"/>
    <w:rsid w:val="00C87B00"/>
    <w:rsid w:val="00C93865"/>
    <w:rsid w:val="00C9585A"/>
    <w:rsid w:val="00C96016"/>
    <w:rsid w:val="00C97F56"/>
    <w:rsid w:val="00CA003B"/>
    <w:rsid w:val="00CA045B"/>
    <w:rsid w:val="00CA1463"/>
    <w:rsid w:val="00CA180B"/>
    <w:rsid w:val="00CA2D2E"/>
    <w:rsid w:val="00CA52DE"/>
    <w:rsid w:val="00CA5FC6"/>
    <w:rsid w:val="00CB1565"/>
    <w:rsid w:val="00CB1AAA"/>
    <w:rsid w:val="00CB3640"/>
    <w:rsid w:val="00CB5079"/>
    <w:rsid w:val="00CC2A1C"/>
    <w:rsid w:val="00CC37CC"/>
    <w:rsid w:val="00CC3AFF"/>
    <w:rsid w:val="00CC4060"/>
    <w:rsid w:val="00CC65BF"/>
    <w:rsid w:val="00CD20B1"/>
    <w:rsid w:val="00CD58DD"/>
    <w:rsid w:val="00CE10FF"/>
    <w:rsid w:val="00CE332A"/>
    <w:rsid w:val="00CF0150"/>
    <w:rsid w:val="00CF0704"/>
    <w:rsid w:val="00CF2B09"/>
    <w:rsid w:val="00CF3C6C"/>
    <w:rsid w:val="00CF5D02"/>
    <w:rsid w:val="00D0224D"/>
    <w:rsid w:val="00D042DA"/>
    <w:rsid w:val="00D112C5"/>
    <w:rsid w:val="00D11985"/>
    <w:rsid w:val="00D142EB"/>
    <w:rsid w:val="00D1509A"/>
    <w:rsid w:val="00D15A9A"/>
    <w:rsid w:val="00D20E93"/>
    <w:rsid w:val="00D21FCD"/>
    <w:rsid w:val="00D22113"/>
    <w:rsid w:val="00D23757"/>
    <w:rsid w:val="00D23A45"/>
    <w:rsid w:val="00D23B60"/>
    <w:rsid w:val="00D2565C"/>
    <w:rsid w:val="00D26121"/>
    <w:rsid w:val="00D32B82"/>
    <w:rsid w:val="00D33E1E"/>
    <w:rsid w:val="00D34F3B"/>
    <w:rsid w:val="00D3505D"/>
    <w:rsid w:val="00D366FC"/>
    <w:rsid w:val="00D36C29"/>
    <w:rsid w:val="00D419C0"/>
    <w:rsid w:val="00D46F10"/>
    <w:rsid w:val="00D47884"/>
    <w:rsid w:val="00D5042A"/>
    <w:rsid w:val="00D50E67"/>
    <w:rsid w:val="00D51A3A"/>
    <w:rsid w:val="00D52DA1"/>
    <w:rsid w:val="00D533A3"/>
    <w:rsid w:val="00D544B4"/>
    <w:rsid w:val="00D5473B"/>
    <w:rsid w:val="00D54A69"/>
    <w:rsid w:val="00D55F2F"/>
    <w:rsid w:val="00D56962"/>
    <w:rsid w:val="00D605DE"/>
    <w:rsid w:val="00D61340"/>
    <w:rsid w:val="00D64779"/>
    <w:rsid w:val="00D662AB"/>
    <w:rsid w:val="00D66578"/>
    <w:rsid w:val="00D679D3"/>
    <w:rsid w:val="00D70F90"/>
    <w:rsid w:val="00D710B1"/>
    <w:rsid w:val="00D75936"/>
    <w:rsid w:val="00D77208"/>
    <w:rsid w:val="00D84AAF"/>
    <w:rsid w:val="00D84ED6"/>
    <w:rsid w:val="00D9122C"/>
    <w:rsid w:val="00D918F0"/>
    <w:rsid w:val="00D91C41"/>
    <w:rsid w:val="00D92933"/>
    <w:rsid w:val="00D93233"/>
    <w:rsid w:val="00D97DDB"/>
    <w:rsid w:val="00DA23C5"/>
    <w:rsid w:val="00DA2AFF"/>
    <w:rsid w:val="00DA3A43"/>
    <w:rsid w:val="00DA69C8"/>
    <w:rsid w:val="00DB2AAF"/>
    <w:rsid w:val="00DB4C9D"/>
    <w:rsid w:val="00DB712E"/>
    <w:rsid w:val="00DB72E0"/>
    <w:rsid w:val="00DC458C"/>
    <w:rsid w:val="00DC51B6"/>
    <w:rsid w:val="00DC55F2"/>
    <w:rsid w:val="00DD1245"/>
    <w:rsid w:val="00DD2D8D"/>
    <w:rsid w:val="00DD6885"/>
    <w:rsid w:val="00DD6D97"/>
    <w:rsid w:val="00DD7986"/>
    <w:rsid w:val="00DE2F99"/>
    <w:rsid w:val="00DE5978"/>
    <w:rsid w:val="00DE601B"/>
    <w:rsid w:val="00DE6D99"/>
    <w:rsid w:val="00DF34B3"/>
    <w:rsid w:val="00DF45F6"/>
    <w:rsid w:val="00DF5C5B"/>
    <w:rsid w:val="00DF5F2D"/>
    <w:rsid w:val="00E0167B"/>
    <w:rsid w:val="00E017B4"/>
    <w:rsid w:val="00E01B20"/>
    <w:rsid w:val="00E03ADB"/>
    <w:rsid w:val="00E03F27"/>
    <w:rsid w:val="00E058D6"/>
    <w:rsid w:val="00E1018A"/>
    <w:rsid w:val="00E11854"/>
    <w:rsid w:val="00E14D0E"/>
    <w:rsid w:val="00E1552B"/>
    <w:rsid w:val="00E15FFC"/>
    <w:rsid w:val="00E20D01"/>
    <w:rsid w:val="00E20D88"/>
    <w:rsid w:val="00E248C4"/>
    <w:rsid w:val="00E254F4"/>
    <w:rsid w:val="00E30EEB"/>
    <w:rsid w:val="00E31153"/>
    <w:rsid w:val="00E32FF9"/>
    <w:rsid w:val="00E40392"/>
    <w:rsid w:val="00E41296"/>
    <w:rsid w:val="00E428AC"/>
    <w:rsid w:val="00E45C35"/>
    <w:rsid w:val="00E465CA"/>
    <w:rsid w:val="00E47B0F"/>
    <w:rsid w:val="00E515F2"/>
    <w:rsid w:val="00E51CD5"/>
    <w:rsid w:val="00E523C6"/>
    <w:rsid w:val="00E53099"/>
    <w:rsid w:val="00E54E66"/>
    <w:rsid w:val="00E563CC"/>
    <w:rsid w:val="00E60220"/>
    <w:rsid w:val="00E603BF"/>
    <w:rsid w:val="00E62813"/>
    <w:rsid w:val="00E635DE"/>
    <w:rsid w:val="00E652AD"/>
    <w:rsid w:val="00E66889"/>
    <w:rsid w:val="00E67462"/>
    <w:rsid w:val="00E70E0C"/>
    <w:rsid w:val="00E732FC"/>
    <w:rsid w:val="00E745C8"/>
    <w:rsid w:val="00E76A42"/>
    <w:rsid w:val="00E76C1E"/>
    <w:rsid w:val="00E76E9D"/>
    <w:rsid w:val="00E80058"/>
    <w:rsid w:val="00E83029"/>
    <w:rsid w:val="00E83A1D"/>
    <w:rsid w:val="00E84A2F"/>
    <w:rsid w:val="00E84D8C"/>
    <w:rsid w:val="00E85D96"/>
    <w:rsid w:val="00E86079"/>
    <w:rsid w:val="00E90500"/>
    <w:rsid w:val="00E90911"/>
    <w:rsid w:val="00E9277A"/>
    <w:rsid w:val="00E945A8"/>
    <w:rsid w:val="00E945E4"/>
    <w:rsid w:val="00E9645A"/>
    <w:rsid w:val="00E97E1F"/>
    <w:rsid w:val="00EA053B"/>
    <w:rsid w:val="00EA0E59"/>
    <w:rsid w:val="00EA1714"/>
    <w:rsid w:val="00EA22DA"/>
    <w:rsid w:val="00EA2E09"/>
    <w:rsid w:val="00EA5586"/>
    <w:rsid w:val="00EA5A40"/>
    <w:rsid w:val="00EA783C"/>
    <w:rsid w:val="00EB2029"/>
    <w:rsid w:val="00EB2286"/>
    <w:rsid w:val="00EC14D8"/>
    <w:rsid w:val="00EC2237"/>
    <w:rsid w:val="00EC4EEC"/>
    <w:rsid w:val="00EC4F25"/>
    <w:rsid w:val="00EC5F3B"/>
    <w:rsid w:val="00ED1DB7"/>
    <w:rsid w:val="00ED7327"/>
    <w:rsid w:val="00ED7F26"/>
    <w:rsid w:val="00EE2673"/>
    <w:rsid w:val="00EE317E"/>
    <w:rsid w:val="00EE482F"/>
    <w:rsid w:val="00EE7143"/>
    <w:rsid w:val="00EE77DE"/>
    <w:rsid w:val="00EF09D4"/>
    <w:rsid w:val="00EF23E3"/>
    <w:rsid w:val="00EF67D7"/>
    <w:rsid w:val="00EF685F"/>
    <w:rsid w:val="00F011CF"/>
    <w:rsid w:val="00F01966"/>
    <w:rsid w:val="00F019DA"/>
    <w:rsid w:val="00F020E3"/>
    <w:rsid w:val="00F03151"/>
    <w:rsid w:val="00F07481"/>
    <w:rsid w:val="00F07A1D"/>
    <w:rsid w:val="00F11599"/>
    <w:rsid w:val="00F14199"/>
    <w:rsid w:val="00F20F59"/>
    <w:rsid w:val="00F21F97"/>
    <w:rsid w:val="00F2446B"/>
    <w:rsid w:val="00F25B86"/>
    <w:rsid w:val="00F2762C"/>
    <w:rsid w:val="00F30249"/>
    <w:rsid w:val="00F319BD"/>
    <w:rsid w:val="00F31DE1"/>
    <w:rsid w:val="00F37D5A"/>
    <w:rsid w:val="00F37F2F"/>
    <w:rsid w:val="00F406EA"/>
    <w:rsid w:val="00F4301A"/>
    <w:rsid w:val="00F45A14"/>
    <w:rsid w:val="00F45BE5"/>
    <w:rsid w:val="00F45D99"/>
    <w:rsid w:val="00F46905"/>
    <w:rsid w:val="00F509B7"/>
    <w:rsid w:val="00F51699"/>
    <w:rsid w:val="00F516E3"/>
    <w:rsid w:val="00F53157"/>
    <w:rsid w:val="00F54A3B"/>
    <w:rsid w:val="00F56C1C"/>
    <w:rsid w:val="00F57995"/>
    <w:rsid w:val="00F608F4"/>
    <w:rsid w:val="00F61B60"/>
    <w:rsid w:val="00F65D83"/>
    <w:rsid w:val="00F66900"/>
    <w:rsid w:val="00F6700A"/>
    <w:rsid w:val="00F71988"/>
    <w:rsid w:val="00F72610"/>
    <w:rsid w:val="00F73F69"/>
    <w:rsid w:val="00F740EB"/>
    <w:rsid w:val="00F744D2"/>
    <w:rsid w:val="00F77884"/>
    <w:rsid w:val="00F8286F"/>
    <w:rsid w:val="00F831DD"/>
    <w:rsid w:val="00F843B2"/>
    <w:rsid w:val="00F84B14"/>
    <w:rsid w:val="00F8767F"/>
    <w:rsid w:val="00F87DE0"/>
    <w:rsid w:val="00F9258B"/>
    <w:rsid w:val="00F928E2"/>
    <w:rsid w:val="00F93166"/>
    <w:rsid w:val="00F94D08"/>
    <w:rsid w:val="00F96538"/>
    <w:rsid w:val="00F96B45"/>
    <w:rsid w:val="00FA3510"/>
    <w:rsid w:val="00FA6DB5"/>
    <w:rsid w:val="00FA6E8B"/>
    <w:rsid w:val="00FB7199"/>
    <w:rsid w:val="00FC1186"/>
    <w:rsid w:val="00FC1188"/>
    <w:rsid w:val="00FC12FC"/>
    <w:rsid w:val="00FC2529"/>
    <w:rsid w:val="00FC4030"/>
    <w:rsid w:val="00FC4A0C"/>
    <w:rsid w:val="00FC6357"/>
    <w:rsid w:val="00FD0169"/>
    <w:rsid w:val="00FD2BF3"/>
    <w:rsid w:val="00FD40B8"/>
    <w:rsid w:val="00FD4626"/>
    <w:rsid w:val="00FD53E0"/>
    <w:rsid w:val="00FE0276"/>
    <w:rsid w:val="00FE0929"/>
    <w:rsid w:val="00FE1BF8"/>
    <w:rsid w:val="00FE655A"/>
    <w:rsid w:val="00FE7C37"/>
    <w:rsid w:val="00FF210A"/>
    <w:rsid w:val="00FF223D"/>
    <w:rsid w:val="00FF45A2"/>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7D8E"/>
  <w15:chartTrackingRefBased/>
  <w15:docId w15:val="{FC80670E-9B31-4134-BABA-0A8FC50B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D4"/>
  </w:style>
  <w:style w:type="paragraph" w:styleId="Heading1">
    <w:name w:val="heading 1"/>
    <w:basedOn w:val="Normal"/>
    <w:next w:val="Normal"/>
    <w:link w:val="Heading1Char"/>
    <w:uiPriority w:val="9"/>
    <w:qFormat/>
    <w:rsid w:val="00CC406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8562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7C3"/>
  </w:style>
  <w:style w:type="paragraph" w:styleId="Footer">
    <w:name w:val="footer"/>
    <w:basedOn w:val="Normal"/>
    <w:link w:val="FooterChar"/>
    <w:uiPriority w:val="99"/>
    <w:unhideWhenUsed/>
    <w:rsid w:val="001A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C3"/>
  </w:style>
  <w:style w:type="character" w:customStyle="1" w:styleId="Heading1Char">
    <w:name w:val="Heading 1 Char"/>
    <w:basedOn w:val="DefaultParagraphFont"/>
    <w:link w:val="Heading1"/>
    <w:uiPriority w:val="9"/>
    <w:rsid w:val="00CC4060"/>
    <w:rPr>
      <w:rFonts w:asciiTheme="majorHAnsi" w:eastAsiaTheme="majorEastAsia" w:hAnsiTheme="majorHAnsi" w:cstheme="majorBidi"/>
      <w:b/>
      <w:bCs/>
      <w:color w:val="2F5496" w:themeColor="accent1" w:themeShade="BF"/>
      <w:sz w:val="28"/>
      <w:szCs w:val="28"/>
    </w:rPr>
  </w:style>
  <w:style w:type="paragraph" w:customStyle="1" w:styleId="SubheadLevel1">
    <w:name w:val="Subhead Level 1"/>
    <w:basedOn w:val="Normal"/>
    <w:uiPriority w:val="99"/>
    <w:rsid w:val="00CC4060"/>
    <w:pPr>
      <w:suppressAutoHyphens/>
      <w:autoSpaceDE w:val="0"/>
      <w:autoSpaceDN w:val="0"/>
      <w:adjustRightInd w:val="0"/>
      <w:spacing w:before="360" w:after="0" w:line="288" w:lineRule="auto"/>
      <w:textAlignment w:val="center"/>
    </w:pPr>
    <w:rPr>
      <w:rFonts w:ascii="Myriad Pro" w:hAnsi="Myriad Pro" w:cs="Myriad Pro"/>
      <w:b/>
      <w:bCs/>
      <w:caps/>
      <w:color w:val="0598FF"/>
      <w:sz w:val="28"/>
      <w:szCs w:val="28"/>
    </w:rPr>
  </w:style>
  <w:style w:type="paragraph" w:customStyle="1" w:styleId="SubheadLevel2">
    <w:name w:val="Subhead Level 2"/>
    <w:basedOn w:val="Normal"/>
    <w:uiPriority w:val="99"/>
    <w:rsid w:val="00CC4060"/>
    <w:pPr>
      <w:suppressAutoHyphens/>
      <w:autoSpaceDE w:val="0"/>
      <w:autoSpaceDN w:val="0"/>
      <w:adjustRightInd w:val="0"/>
      <w:spacing w:before="133" w:after="0" w:line="288" w:lineRule="auto"/>
      <w:textAlignment w:val="center"/>
    </w:pPr>
    <w:rPr>
      <w:rFonts w:ascii="Myriad Pro" w:hAnsi="Myriad Pro" w:cs="Myriad Pro"/>
      <w:b/>
      <w:bCs/>
      <w:color w:val="000000"/>
    </w:rPr>
  </w:style>
  <w:style w:type="paragraph" w:customStyle="1" w:styleId="BodyCopy">
    <w:name w:val="Body Copy"/>
    <w:basedOn w:val="Normal"/>
    <w:uiPriority w:val="99"/>
    <w:rsid w:val="00CC4060"/>
    <w:pPr>
      <w:suppressAutoHyphens/>
      <w:autoSpaceDE w:val="0"/>
      <w:autoSpaceDN w:val="0"/>
      <w:adjustRightInd w:val="0"/>
      <w:spacing w:before="90" w:after="0" w:line="288" w:lineRule="auto"/>
      <w:textAlignment w:val="center"/>
    </w:pPr>
    <w:rPr>
      <w:rFonts w:ascii="Myriad Pro" w:hAnsi="Myriad Pro" w:cs="Myriad Pro"/>
      <w:color w:val="000000"/>
      <w:sz w:val="20"/>
      <w:szCs w:val="20"/>
    </w:rPr>
  </w:style>
  <w:style w:type="paragraph" w:customStyle="1" w:styleId="Bullets">
    <w:name w:val="Bullets"/>
    <w:basedOn w:val="BodyCopy"/>
    <w:uiPriority w:val="99"/>
    <w:rsid w:val="00CC4060"/>
    <w:pPr>
      <w:ind w:left="108" w:hanging="108"/>
    </w:pPr>
  </w:style>
  <w:style w:type="table" w:styleId="TableGrid">
    <w:name w:val="Table Grid"/>
    <w:basedOn w:val="TableNormal"/>
    <w:uiPriority w:val="59"/>
    <w:rsid w:val="00CC40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73AA8"/>
    <w:rPr>
      <w:color w:val="0563C1" w:themeColor="hyperlink"/>
      <w:u w:val="single"/>
    </w:rPr>
  </w:style>
  <w:style w:type="character" w:styleId="UnresolvedMention">
    <w:name w:val="Unresolved Mention"/>
    <w:basedOn w:val="DefaultParagraphFont"/>
    <w:uiPriority w:val="99"/>
    <w:semiHidden/>
    <w:unhideWhenUsed/>
    <w:rsid w:val="00573AA8"/>
    <w:rPr>
      <w:color w:val="605E5C"/>
      <w:shd w:val="clear" w:color="auto" w:fill="E1DFDD"/>
    </w:rPr>
  </w:style>
  <w:style w:type="paragraph" w:styleId="BodyText">
    <w:name w:val="Body Text"/>
    <w:basedOn w:val="Normal"/>
    <w:link w:val="BodyTextChar"/>
    <w:uiPriority w:val="1"/>
    <w:qFormat/>
    <w:rsid w:val="000611A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0611A5"/>
    <w:rPr>
      <w:rFonts w:ascii="Arial" w:eastAsia="Arial" w:hAnsi="Arial" w:cs="Arial"/>
      <w:lang w:bidi="en-US"/>
    </w:rPr>
  </w:style>
  <w:style w:type="paragraph" w:styleId="ListParagraph">
    <w:name w:val="List Paragraph"/>
    <w:basedOn w:val="Normal"/>
    <w:uiPriority w:val="34"/>
    <w:qFormat/>
    <w:rsid w:val="004248A6"/>
    <w:pPr>
      <w:ind w:left="720"/>
      <w:contextualSpacing/>
    </w:pPr>
  </w:style>
  <w:style w:type="paragraph" w:styleId="Title">
    <w:name w:val="Title"/>
    <w:basedOn w:val="Normal"/>
    <w:link w:val="TitleChar"/>
    <w:uiPriority w:val="10"/>
    <w:qFormat/>
    <w:rsid w:val="00801C11"/>
    <w:pPr>
      <w:widowControl w:val="0"/>
      <w:autoSpaceDE w:val="0"/>
      <w:autoSpaceDN w:val="0"/>
      <w:spacing w:before="148" w:after="0" w:line="240" w:lineRule="auto"/>
      <w:ind w:left="106" w:right="5793"/>
    </w:pPr>
    <w:rPr>
      <w:rFonts w:ascii="Campton-SemiBold" w:eastAsia="Campton-SemiBold" w:hAnsi="Campton-SemiBold" w:cs="Campton-SemiBold"/>
      <w:b/>
      <w:bCs/>
      <w:sz w:val="64"/>
      <w:szCs w:val="64"/>
    </w:rPr>
  </w:style>
  <w:style w:type="character" w:customStyle="1" w:styleId="TitleChar">
    <w:name w:val="Title Char"/>
    <w:basedOn w:val="DefaultParagraphFont"/>
    <w:link w:val="Title"/>
    <w:uiPriority w:val="10"/>
    <w:rsid w:val="00801C11"/>
    <w:rPr>
      <w:rFonts w:ascii="Campton-SemiBold" w:eastAsia="Campton-SemiBold" w:hAnsi="Campton-SemiBold" w:cs="Campton-SemiBold"/>
      <w:b/>
      <w:bCs/>
      <w:sz w:val="64"/>
      <w:szCs w:val="64"/>
    </w:rPr>
  </w:style>
  <w:style w:type="character" w:customStyle="1" w:styleId="Heading3Char">
    <w:name w:val="Heading 3 Char"/>
    <w:basedOn w:val="DefaultParagraphFont"/>
    <w:link w:val="Heading3"/>
    <w:uiPriority w:val="9"/>
    <w:semiHidden/>
    <w:rsid w:val="0085629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F0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304847">
      <w:bodyDiv w:val="1"/>
      <w:marLeft w:val="0"/>
      <w:marRight w:val="0"/>
      <w:marTop w:val="0"/>
      <w:marBottom w:val="0"/>
      <w:divBdr>
        <w:top w:val="none" w:sz="0" w:space="0" w:color="auto"/>
        <w:left w:val="none" w:sz="0" w:space="0" w:color="auto"/>
        <w:bottom w:val="none" w:sz="0" w:space="0" w:color="auto"/>
        <w:right w:val="none" w:sz="0" w:space="0" w:color="auto"/>
      </w:divBdr>
    </w:div>
    <w:div w:id="914170878">
      <w:bodyDiv w:val="1"/>
      <w:marLeft w:val="0"/>
      <w:marRight w:val="0"/>
      <w:marTop w:val="0"/>
      <w:marBottom w:val="0"/>
      <w:divBdr>
        <w:top w:val="none" w:sz="0" w:space="0" w:color="auto"/>
        <w:left w:val="none" w:sz="0" w:space="0" w:color="auto"/>
        <w:bottom w:val="none" w:sz="0" w:space="0" w:color="auto"/>
        <w:right w:val="none" w:sz="0" w:space="0" w:color="auto"/>
      </w:divBdr>
    </w:div>
    <w:div w:id="1394306516">
      <w:bodyDiv w:val="1"/>
      <w:marLeft w:val="0"/>
      <w:marRight w:val="0"/>
      <w:marTop w:val="0"/>
      <w:marBottom w:val="0"/>
      <w:divBdr>
        <w:top w:val="none" w:sz="0" w:space="0" w:color="auto"/>
        <w:left w:val="none" w:sz="0" w:space="0" w:color="auto"/>
        <w:bottom w:val="none" w:sz="0" w:space="0" w:color="auto"/>
        <w:right w:val="none" w:sz="0" w:space="0" w:color="auto"/>
      </w:divBdr>
    </w:div>
    <w:div w:id="1396507733">
      <w:bodyDiv w:val="1"/>
      <w:marLeft w:val="0"/>
      <w:marRight w:val="0"/>
      <w:marTop w:val="0"/>
      <w:marBottom w:val="0"/>
      <w:divBdr>
        <w:top w:val="none" w:sz="0" w:space="0" w:color="auto"/>
        <w:left w:val="none" w:sz="0" w:space="0" w:color="auto"/>
        <w:bottom w:val="none" w:sz="0" w:space="0" w:color="auto"/>
        <w:right w:val="none" w:sz="0" w:space="0" w:color="auto"/>
      </w:divBdr>
    </w:div>
    <w:div w:id="1737780345">
      <w:bodyDiv w:val="1"/>
      <w:marLeft w:val="0"/>
      <w:marRight w:val="0"/>
      <w:marTop w:val="0"/>
      <w:marBottom w:val="0"/>
      <w:divBdr>
        <w:top w:val="none" w:sz="0" w:space="0" w:color="auto"/>
        <w:left w:val="none" w:sz="0" w:space="0" w:color="auto"/>
        <w:bottom w:val="none" w:sz="0" w:space="0" w:color="auto"/>
        <w:right w:val="none" w:sz="0" w:space="0" w:color="auto"/>
      </w:divBdr>
      <w:divsChild>
        <w:div w:id="2044668335">
          <w:marLeft w:val="0"/>
          <w:marRight w:val="0"/>
          <w:marTop w:val="120"/>
          <w:marBottom w:val="0"/>
          <w:divBdr>
            <w:top w:val="none" w:sz="0" w:space="0" w:color="auto"/>
            <w:left w:val="none" w:sz="0" w:space="0" w:color="auto"/>
            <w:bottom w:val="none" w:sz="0" w:space="0" w:color="auto"/>
            <w:right w:val="none" w:sz="0" w:space="0" w:color="auto"/>
          </w:divBdr>
        </w:div>
        <w:div w:id="1073819480">
          <w:marLeft w:val="0"/>
          <w:marRight w:val="0"/>
          <w:marTop w:val="360"/>
          <w:marBottom w:val="120"/>
          <w:divBdr>
            <w:top w:val="none" w:sz="0" w:space="0" w:color="auto"/>
            <w:left w:val="none" w:sz="0" w:space="0" w:color="auto"/>
            <w:bottom w:val="none" w:sz="0" w:space="0" w:color="auto"/>
            <w:right w:val="none" w:sz="0" w:space="0" w:color="auto"/>
          </w:divBdr>
        </w:div>
        <w:div w:id="125305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00B6F5B51C54E86583DC2677F3EC1" ma:contentTypeVersion="18" ma:contentTypeDescription="Create a new document." ma:contentTypeScope="" ma:versionID="34a5a398b1d362d668de0cf8b4bea342">
  <xsd:schema xmlns:xsd="http://www.w3.org/2001/XMLSchema" xmlns:xs="http://www.w3.org/2001/XMLSchema" xmlns:p="http://schemas.microsoft.com/office/2006/metadata/properties" xmlns:ns2="eba337b9-75dc-4c6a-88fe-b4bc8dd44154" xmlns:ns3="ccab4ec9-ddba-4591-a8be-e43cfe3e19f7" targetNamespace="http://schemas.microsoft.com/office/2006/metadata/properties" ma:root="true" ma:fieldsID="cd44b0cb43a4f2756b45dc133746c857" ns2:_="" ns3:_="">
    <xsd:import namespace="eba337b9-75dc-4c6a-88fe-b4bc8dd44154"/>
    <xsd:import namespace="ccab4ec9-ddba-4591-a8be-e43cfe3e19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DateTaken" minOccurs="0"/>
                <xsd:element ref="ns3:MediaServiceEventHashCode"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337b9-75dc-4c6a-88fe-b4bc8dd441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a0f21b9-bced-420d-b0f4-1f816345924a}" ma:internalName="TaxCatchAll" ma:showField="CatchAllData" ma:web="eba337b9-75dc-4c6a-88fe-b4bc8dd44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ab4ec9-ddba-4591-a8be-e43cfe3e19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b7c4bbd-2749-451c-bb4a-1381650c1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ba337b9-75dc-4c6a-88fe-b4bc8dd44154">YQ4ZMZRC7HKQ-882766960-22850</_dlc_DocId>
    <_dlc_DocIdUrl xmlns="eba337b9-75dc-4c6a-88fe-b4bc8dd44154">
      <Url>https://headwealthmgmt.sharepoint.com/sites/HIPShared/_layouts/15/DocIdRedir.aspx?ID=YQ4ZMZRC7HKQ-882766960-22850</Url>
      <Description>YQ4ZMZRC7HKQ-882766960-22850</Description>
    </_dlc_DocIdUrl>
    <TaxCatchAll xmlns="eba337b9-75dc-4c6a-88fe-b4bc8dd44154" xsi:nil="true"/>
    <lcf76f155ced4ddcb4097134ff3c332f xmlns="ccab4ec9-ddba-4591-a8be-e43cfe3e19f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A214-E10B-4EB1-90AF-6CD0EE78B0B1}"/>
</file>

<file path=customXml/itemProps2.xml><?xml version="1.0" encoding="utf-8"?>
<ds:datastoreItem xmlns:ds="http://schemas.openxmlformats.org/officeDocument/2006/customXml" ds:itemID="{863FCC60-4594-40A5-B802-761873A2329B}">
  <ds:schemaRefs>
    <ds:schemaRef ds:uri="http://schemas.microsoft.com/sharepoint/v3/contenttype/forms"/>
  </ds:schemaRefs>
</ds:datastoreItem>
</file>

<file path=customXml/itemProps3.xml><?xml version="1.0" encoding="utf-8"?>
<ds:datastoreItem xmlns:ds="http://schemas.openxmlformats.org/officeDocument/2006/customXml" ds:itemID="{B247F8C5-8A92-4C6B-9CF7-96209C572452}">
  <ds:schemaRefs>
    <ds:schemaRef ds:uri="http://schemas.microsoft.com/sharepoint/events"/>
  </ds:schemaRefs>
</ds:datastoreItem>
</file>

<file path=customXml/itemProps4.xml><?xml version="1.0" encoding="utf-8"?>
<ds:datastoreItem xmlns:ds="http://schemas.openxmlformats.org/officeDocument/2006/customXml" ds:itemID="{8F9D6EF7-ACA8-4369-95B7-82EE6DAB925F}">
  <ds:schemaRefs>
    <ds:schemaRef ds:uri="http://schemas.microsoft.com/office/2006/metadata/properties"/>
    <ds:schemaRef ds:uri="http://schemas.microsoft.com/office/infopath/2007/PartnerControls"/>
    <ds:schemaRef ds:uri="eba337b9-75dc-4c6a-88fe-b4bc8dd44154"/>
    <ds:schemaRef ds:uri="ccab4ec9-ddba-4591-a8be-e43cfe3e19f7"/>
  </ds:schemaRefs>
</ds:datastoreItem>
</file>

<file path=customXml/itemProps5.xml><?xml version="1.0" encoding="utf-8"?>
<ds:datastoreItem xmlns:ds="http://schemas.openxmlformats.org/officeDocument/2006/customXml" ds:itemID="{5B46CC28-55E2-4CF9-B5B1-860773EA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Hayes</dc:creator>
  <cp:keywords/>
  <dc:description/>
  <cp:lastModifiedBy>Jonathan Hayes</cp:lastModifiedBy>
  <cp:revision>2</cp:revision>
  <cp:lastPrinted>2023-11-22T18:25:00Z</cp:lastPrinted>
  <dcterms:created xsi:type="dcterms:W3CDTF">2024-03-27T16:32:00Z</dcterms:created>
  <dcterms:modified xsi:type="dcterms:W3CDTF">2024-03-27T16:32:00Z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0x01010003400B6F5B51C54E86583DC2677F3EC1</vt:lpwstr>
  </property>
  <property fmtid="{D5CDD505-2E9C-101B-9397-08002B2CF9AE}" pid="3" name="MediaServiceImageTags">
    <vt:lpwstr/>
  </property>
  <property fmtid="{D5CDD505-2E9C-101B-9397-08002B2CF9AE}" pid="4" name="_dlc_DocIdItemGuid">
    <vt:lpwstr>e21c434c-287a-4415-98d9-0801d62e4e53</vt:lpwstr>
  </property>
</Properties>
</file>